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A4CB1" w14:textId="77777777" w:rsidR="003D244A" w:rsidRPr="007F2468" w:rsidRDefault="003D244A" w:rsidP="00D80928">
      <w:pPr>
        <w:autoSpaceDE w:val="0"/>
        <w:autoSpaceDN w:val="0"/>
        <w:adjustRightInd w:val="0"/>
        <w:rPr>
          <w:b/>
          <w:color w:val="FFFF99"/>
          <w:sz w:val="8"/>
          <w:szCs w:val="8"/>
          <w:highlight w:val="darkBlue"/>
        </w:rPr>
      </w:pPr>
      <w:bookmarkStart w:id="0" w:name="_GoBack"/>
      <w:bookmarkEnd w:id="0"/>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p>
    <w:p w14:paraId="0B5D0A14" w14:textId="77777777" w:rsidR="003D244A" w:rsidRPr="00226A14" w:rsidRDefault="003D244A" w:rsidP="00D80928">
      <w:pPr>
        <w:rPr>
          <w:rFonts w:ascii="Arial" w:hAnsi="Arial" w:cs="Arial"/>
          <w:color w:val="000080"/>
        </w:rPr>
      </w:pP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p>
    <w:p w14:paraId="0B586AB3" w14:textId="77777777" w:rsidR="003D244A" w:rsidRPr="00226A14" w:rsidRDefault="003D244A" w:rsidP="00D80928">
      <w:pPr>
        <w:rPr>
          <w:rFonts w:ascii="Arial" w:hAnsi="Arial" w:cs="Arial"/>
          <w:color w:val="000080"/>
        </w:rPr>
      </w:pP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p>
    <w:p w14:paraId="5A0208CD" w14:textId="77777777" w:rsidR="003D244A" w:rsidRPr="00226A14" w:rsidRDefault="003D244A" w:rsidP="00D80928">
      <w:pPr>
        <w:pStyle w:val="Title"/>
        <w:jc w:val="left"/>
        <w:rPr>
          <w:color w:val="000000"/>
        </w:rPr>
      </w:pP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t xml:space="preserve"> </w:t>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t xml:space="preserve">        </w:t>
      </w:r>
    </w:p>
    <w:p w14:paraId="1B188E05" w14:textId="77777777" w:rsidR="003D244A" w:rsidRPr="00226A14" w:rsidRDefault="003D244A" w:rsidP="00D80928">
      <w:pPr>
        <w:pStyle w:val="Title"/>
        <w:jc w:val="left"/>
      </w:pPr>
      <w:r w:rsidRPr="00226A14">
        <w:rPr>
          <w:rFonts w:ascii="Arial" w:hAnsi="Arial" w:cs="Arial"/>
          <w:b/>
          <w:color w:val="000080"/>
          <w:sz w:val="32"/>
          <w:szCs w:val="32"/>
        </w:rPr>
        <w:tab/>
      </w:r>
      <w:r w:rsidRPr="00226A14">
        <w:tab/>
        <w:t xml:space="preserve">     </w:t>
      </w:r>
      <w:r w:rsidR="00FC0494">
        <w:rPr>
          <w:noProof/>
          <w:lang w:eastAsia="zh-CN"/>
        </w:rPr>
        <w:drawing>
          <wp:inline distT="0" distB="0" distL="0" distR="0" wp14:anchorId="3B7078F1" wp14:editId="64DC9276">
            <wp:extent cx="360045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1914525"/>
                    </a:xfrm>
                    <a:prstGeom prst="rect">
                      <a:avLst/>
                    </a:prstGeom>
                    <a:noFill/>
                    <a:ln>
                      <a:noFill/>
                    </a:ln>
                  </pic:spPr>
                </pic:pic>
              </a:graphicData>
            </a:graphic>
          </wp:inline>
        </w:drawing>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p>
    <w:p w14:paraId="180D1EB9" w14:textId="77777777" w:rsidR="003D244A" w:rsidRPr="00226A14" w:rsidRDefault="003D244A" w:rsidP="00D80928">
      <w:pPr>
        <w:rPr>
          <w:rFonts w:ascii="Arial" w:hAnsi="Arial" w:cs="Arial"/>
          <w:color w:val="000080"/>
        </w:rPr>
      </w:pP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p>
    <w:p w14:paraId="4A606EEE" w14:textId="77777777" w:rsidR="003D244A" w:rsidRPr="00226A14" w:rsidRDefault="003D244A" w:rsidP="00D80928">
      <w:pPr>
        <w:rPr>
          <w:rFonts w:ascii="Arial" w:hAnsi="Arial" w:cs="Arial"/>
          <w:color w:val="000080"/>
        </w:rPr>
      </w:pP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p>
    <w:p w14:paraId="708C847D" w14:textId="77777777" w:rsidR="003D244A" w:rsidRPr="00226A14" w:rsidRDefault="003D244A" w:rsidP="00D80928">
      <w:r w:rsidRPr="00226A14">
        <w:tab/>
      </w:r>
      <w:r w:rsidRPr="00226A14">
        <w:tab/>
      </w:r>
      <w:r w:rsidRPr="00226A14">
        <w:tab/>
        <w:t xml:space="preserve">                     </w:t>
      </w:r>
      <w:r w:rsidRPr="00226A14">
        <w:tab/>
      </w:r>
      <w:r w:rsidRPr="00226A14">
        <w:tab/>
      </w:r>
      <w:r w:rsidRPr="00226A14">
        <w:tab/>
        <w:t xml:space="preserve"> </w:t>
      </w:r>
    </w:p>
    <w:p w14:paraId="59C39C0E" w14:textId="77777777" w:rsidR="003D244A" w:rsidRPr="00226A14" w:rsidRDefault="003D244A" w:rsidP="00D80928">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p>
    <w:p w14:paraId="4046AD9C" w14:textId="77777777" w:rsidR="003D244A" w:rsidRPr="004257D7" w:rsidRDefault="003D244A" w:rsidP="00A52167">
      <w:pPr>
        <w:jc w:val="center"/>
        <w:rPr>
          <w:rFonts w:ascii="Arial" w:hAnsi="Arial" w:cs="Arial"/>
          <w:color w:val="000080"/>
        </w:rPr>
      </w:pPr>
      <w:r w:rsidRPr="004257D7">
        <w:rPr>
          <w:rFonts w:ascii="Arial" w:hAnsi="Arial" w:cs="Arial"/>
          <w:b/>
          <w:color w:val="000080"/>
          <w:sz w:val="32"/>
          <w:szCs w:val="32"/>
        </w:rPr>
        <w:t>iLit</w:t>
      </w:r>
      <w:r w:rsidRPr="004257D7">
        <w:rPr>
          <w:rFonts w:ascii="Arial" w:hAnsi="Arial" w:cs="Arial"/>
          <w:color w:val="000080"/>
        </w:rPr>
        <w:t xml:space="preserve"> </w:t>
      </w:r>
      <w:r w:rsidRPr="004257D7">
        <w:rPr>
          <w:rFonts w:ascii="Arial" w:hAnsi="Arial" w:cs="Arial"/>
          <w:b/>
          <w:color w:val="000080"/>
          <w:sz w:val="32"/>
          <w:szCs w:val="32"/>
        </w:rPr>
        <w:t xml:space="preserve">2013-15 </w:t>
      </w:r>
    </w:p>
    <w:p w14:paraId="727F226B" w14:textId="77777777" w:rsidR="003D244A" w:rsidRPr="00226A14" w:rsidRDefault="007C33FA" w:rsidP="00A52167">
      <w:pPr>
        <w:jc w:val="center"/>
        <w:rPr>
          <w:rFonts w:ascii="Arial" w:hAnsi="Arial" w:cs="Arial"/>
          <w:b/>
          <w:color w:val="000080"/>
          <w:sz w:val="32"/>
          <w:szCs w:val="32"/>
        </w:rPr>
      </w:pPr>
      <w:r>
        <w:rPr>
          <w:rFonts w:ascii="Arial" w:hAnsi="Arial" w:cs="Arial"/>
          <w:b/>
          <w:color w:val="000080"/>
          <w:sz w:val="32"/>
          <w:szCs w:val="32"/>
        </w:rPr>
        <w:t>L</w:t>
      </w:r>
      <w:r w:rsidR="00DC61FB">
        <w:rPr>
          <w:rFonts w:ascii="Arial" w:hAnsi="Arial" w:cs="Arial"/>
          <w:b/>
          <w:color w:val="000080"/>
          <w:sz w:val="32"/>
          <w:szCs w:val="32"/>
        </w:rPr>
        <w:t>ONGITUDINAL</w:t>
      </w:r>
      <w:r>
        <w:rPr>
          <w:rFonts w:ascii="Arial" w:hAnsi="Arial" w:cs="Arial"/>
          <w:b/>
          <w:color w:val="000080"/>
          <w:sz w:val="32"/>
          <w:szCs w:val="32"/>
        </w:rPr>
        <w:t xml:space="preserve"> </w:t>
      </w:r>
      <w:r w:rsidR="003D244A" w:rsidRPr="00226A14">
        <w:rPr>
          <w:rFonts w:ascii="Arial" w:hAnsi="Arial" w:cs="Arial"/>
          <w:b/>
          <w:color w:val="000080"/>
          <w:sz w:val="32"/>
          <w:szCs w:val="32"/>
        </w:rPr>
        <w:t>EFFICACY STUDY</w:t>
      </w:r>
    </w:p>
    <w:p w14:paraId="12586087" w14:textId="77777777" w:rsidR="003D244A" w:rsidRPr="00226A14" w:rsidRDefault="003D244A" w:rsidP="00D80928">
      <w:pPr>
        <w:rPr>
          <w:rFonts w:ascii="Arial" w:hAnsi="Arial" w:cs="Arial"/>
          <w:color w:val="000080"/>
        </w:rPr>
      </w:pP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p>
    <w:p w14:paraId="637BE60B" w14:textId="77777777" w:rsidR="003D244A" w:rsidRDefault="003D244A" w:rsidP="00D80928">
      <w:pPr>
        <w:rPr>
          <w:rFonts w:ascii="Arial" w:hAnsi="Arial" w:cs="Arial"/>
          <w:b/>
          <w:color w:val="000080"/>
          <w:sz w:val="32"/>
          <w:szCs w:val="32"/>
        </w:rPr>
      </w:pP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p>
    <w:p w14:paraId="23352D62" w14:textId="77777777" w:rsidR="003D244A" w:rsidRDefault="00E823FF" w:rsidP="00AF3D2D">
      <w:pPr>
        <w:jc w:val="center"/>
        <w:rPr>
          <w:rFonts w:ascii="Arial" w:hAnsi="Arial" w:cs="Arial"/>
          <w:color w:val="000080"/>
        </w:rPr>
      </w:pPr>
      <w:r>
        <w:rPr>
          <w:rFonts w:ascii="Arial" w:hAnsi="Arial" w:cs="Arial"/>
          <w:color w:val="000080"/>
        </w:rPr>
        <w:t>FINAL</w:t>
      </w:r>
      <w:r w:rsidR="003D244A" w:rsidRPr="00226A14">
        <w:rPr>
          <w:rFonts w:ascii="Arial" w:hAnsi="Arial" w:cs="Arial"/>
          <w:color w:val="000080"/>
        </w:rPr>
        <w:t xml:space="preserve"> REPORT</w:t>
      </w:r>
    </w:p>
    <w:p w14:paraId="4A1AC5F8" w14:textId="77777777" w:rsidR="003D244A" w:rsidRDefault="003D244A" w:rsidP="00AF3D2D">
      <w:pPr>
        <w:jc w:val="center"/>
        <w:rPr>
          <w:rFonts w:ascii="Arial" w:hAnsi="Arial" w:cs="Arial"/>
          <w:color w:val="000080"/>
        </w:rPr>
      </w:pPr>
    </w:p>
    <w:p w14:paraId="00298BDF" w14:textId="32AE652C" w:rsidR="003D244A" w:rsidRPr="00226A14" w:rsidRDefault="00974E3E" w:rsidP="00AF3D2D">
      <w:pPr>
        <w:jc w:val="center"/>
        <w:rPr>
          <w:rFonts w:ascii="Arial" w:hAnsi="Arial" w:cs="Arial"/>
          <w:color w:val="000080"/>
        </w:rPr>
      </w:pPr>
      <w:r w:rsidRPr="00974E3E">
        <w:rPr>
          <w:rFonts w:ascii="Arial" w:hAnsi="Arial" w:cs="Arial"/>
          <w:color w:val="000080"/>
        </w:rPr>
        <w:t>2</w:t>
      </w:r>
      <w:r w:rsidR="00E823FF" w:rsidRPr="00974E3E">
        <w:rPr>
          <w:rFonts w:ascii="Arial" w:hAnsi="Arial" w:cs="Arial"/>
          <w:color w:val="000080"/>
        </w:rPr>
        <w:t>-</w:t>
      </w:r>
      <w:r w:rsidR="005D6D11">
        <w:rPr>
          <w:rFonts w:ascii="Arial" w:hAnsi="Arial" w:cs="Arial"/>
          <w:color w:val="000080"/>
        </w:rPr>
        <w:t>11</w:t>
      </w:r>
      <w:r w:rsidR="00E823FF" w:rsidRPr="00974E3E">
        <w:rPr>
          <w:rFonts w:ascii="Arial" w:hAnsi="Arial" w:cs="Arial"/>
          <w:color w:val="000080"/>
        </w:rPr>
        <w:t>-201</w:t>
      </w:r>
      <w:r w:rsidRPr="00974E3E">
        <w:rPr>
          <w:rFonts w:ascii="Arial" w:hAnsi="Arial" w:cs="Arial"/>
          <w:color w:val="000080"/>
        </w:rPr>
        <w:t>6</w:t>
      </w:r>
    </w:p>
    <w:p w14:paraId="54E79625" w14:textId="77777777" w:rsidR="003D244A" w:rsidRPr="00226A14" w:rsidRDefault="003D244A" w:rsidP="00D80928">
      <w:pPr>
        <w:rPr>
          <w:rFonts w:ascii="Arial" w:hAnsi="Arial" w:cs="Arial"/>
          <w:color w:val="000080"/>
        </w:rPr>
      </w:pP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p>
    <w:p w14:paraId="5377E2C2" w14:textId="77777777" w:rsidR="003D244A" w:rsidRPr="00226A14" w:rsidRDefault="003D244A" w:rsidP="00D80928">
      <w:pPr>
        <w:rPr>
          <w:rFonts w:ascii="Arial" w:hAnsi="Arial" w:cs="Arial"/>
          <w:color w:val="000080"/>
        </w:rPr>
      </w:pP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i/>
          <w:color w:val="000080"/>
        </w:rPr>
        <w:tab/>
      </w:r>
      <w:r w:rsidRPr="00226A14">
        <w:rPr>
          <w:rFonts w:ascii="Arial" w:hAnsi="Arial" w:cs="Arial"/>
          <w:i/>
          <w:color w:val="000080"/>
        </w:rPr>
        <w:tab/>
      </w:r>
      <w:r w:rsidRPr="00226A14">
        <w:rPr>
          <w:rFonts w:ascii="Arial" w:hAnsi="Arial" w:cs="Arial"/>
          <w:i/>
          <w:color w:val="000080"/>
        </w:rPr>
        <w:tab/>
      </w:r>
      <w:r w:rsidRPr="00226A14">
        <w:rPr>
          <w:rFonts w:ascii="Arial" w:hAnsi="Arial" w:cs="Arial"/>
          <w:i/>
          <w:color w:val="000080"/>
        </w:rPr>
        <w:tab/>
      </w:r>
      <w:r w:rsidRPr="00226A14">
        <w:rPr>
          <w:rFonts w:ascii="Arial" w:hAnsi="Arial" w:cs="Arial"/>
          <w:i/>
          <w:color w:val="000080"/>
        </w:rPr>
        <w:tab/>
      </w:r>
      <w:r w:rsidRPr="00226A14">
        <w:rPr>
          <w:rFonts w:ascii="Arial" w:hAnsi="Arial" w:cs="Arial"/>
          <w:i/>
          <w:color w:val="000080"/>
        </w:rPr>
        <w:tab/>
      </w:r>
    </w:p>
    <w:p w14:paraId="3943021F" w14:textId="77777777" w:rsidR="003D244A" w:rsidRPr="00226A14" w:rsidRDefault="003D244A" w:rsidP="00D80928">
      <w:pPr>
        <w:rPr>
          <w:rFonts w:ascii="Arial" w:hAnsi="Arial" w:cs="Arial"/>
          <w:color w:val="000080"/>
        </w:rPr>
      </w:pP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p>
    <w:p w14:paraId="5AB52A57" w14:textId="77777777" w:rsidR="003D244A" w:rsidRDefault="003D244A" w:rsidP="00D80928">
      <w:pPr>
        <w:rPr>
          <w:rFonts w:ascii="Arial" w:hAnsi="Arial" w:cs="Arial"/>
          <w:b/>
          <w:color w:val="000080"/>
          <w:sz w:val="32"/>
          <w:szCs w:val="32"/>
        </w:rPr>
      </w:pP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p>
    <w:p w14:paraId="73262597" w14:textId="77777777" w:rsidR="003D244A" w:rsidRDefault="003D244A" w:rsidP="00D80928">
      <w:pPr>
        <w:rPr>
          <w:rFonts w:ascii="Arial" w:hAnsi="Arial" w:cs="Arial"/>
          <w:b/>
          <w:color w:val="000080"/>
          <w:sz w:val="32"/>
          <w:szCs w:val="32"/>
        </w:rPr>
      </w:pPr>
    </w:p>
    <w:p w14:paraId="197D17D4" w14:textId="77777777" w:rsidR="003D244A" w:rsidRPr="00226A14" w:rsidRDefault="003D244A" w:rsidP="00D80928">
      <w:pPr>
        <w:rPr>
          <w:rFonts w:ascii="Arial" w:hAnsi="Arial" w:cs="Arial"/>
          <w:color w:val="000080"/>
        </w:rPr>
      </w:pPr>
      <w:r w:rsidRPr="00226A14">
        <w:rPr>
          <w:rFonts w:ascii="Arial" w:hAnsi="Arial" w:cs="Arial"/>
          <w:b/>
          <w:color w:val="000080"/>
          <w:sz w:val="32"/>
          <w:szCs w:val="32"/>
        </w:rPr>
        <w:tab/>
      </w:r>
    </w:p>
    <w:p w14:paraId="6F07F129" w14:textId="77777777" w:rsidR="003D244A" w:rsidRPr="00226A14" w:rsidRDefault="003D244A" w:rsidP="00D80928">
      <w:pPr>
        <w:rPr>
          <w:rFonts w:ascii="Arial" w:hAnsi="Arial" w:cs="Arial"/>
          <w:color w:val="000080"/>
        </w:rPr>
      </w:pP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p>
    <w:p w14:paraId="1EBBA73C" w14:textId="77777777" w:rsidR="003D244A" w:rsidRDefault="003D244A" w:rsidP="00D80928">
      <w:pPr>
        <w:rPr>
          <w:rFonts w:ascii="Arial" w:hAnsi="Arial" w:cs="Arial"/>
          <w:b/>
          <w:color w:val="000080"/>
          <w:sz w:val="32"/>
          <w:szCs w:val="32"/>
        </w:rPr>
      </w:pP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p>
    <w:p w14:paraId="200B6DA9" w14:textId="77777777" w:rsidR="003D244A" w:rsidRDefault="003D244A" w:rsidP="00D80928">
      <w:pPr>
        <w:rPr>
          <w:rFonts w:ascii="Arial" w:hAnsi="Arial" w:cs="Arial"/>
          <w:b/>
          <w:color w:val="000080"/>
          <w:sz w:val="32"/>
          <w:szCs w:val="32"/>
        </w:rPr>
      </w:pPr>
    </w:p>
    <w:p w14:paraId="717A9D18" w14:textId="77777777" w:rsidR="003D244A" w:rsidRDefault="003D244A" w:rsidP="00D80928">
      <w:pPr>
        <w:rPr>
          <w:rFonts w:ascii="Arial" w:hAnsi="Arial" w:cs="Arial"/>
          <w:b/>
          <w:color w:val="000080"/>
          <w:sz w:val="32"/>
          <w:szCs w:val="32"/>
        </w:rPr>
      </w:pPr>
    </w:p>
    <w:p w14:paraId="07E9A479" w14:textId="77777777" w:rsidR="003D244A" w:rsidRPr="00226A14" w:rsidRDefault="003D244A" w:rsidP="00D80928">
      <w:pPr>
        <w:rPr>
          <w:rFonts w:ascii="Arial" w:hAnsi="Arial" w:cs="Arial"/>
          <w:color w:val="000080"/>
        </w:rPr>
      </w:pPr>
      <w:r w:rsidRPr="00226A14">
        <w:rPr>
          <w:rFonts w:ascii="Arial" w:hAnsi="Arial" w:cs="Arial"/>
          <w:b/>
          <w:color w:val="000080"/>
          <w:sz w:val="32"/>
          <w:szCs w:val="32"/>
        </w:rPr>
        <w:tab/>
      </w:r>
      <w:r w:rsidRPr="00226A14">
        <w:rPr>
          <w:rFonts w:ascii="Arial" w:hAnsi="Arial" w:cs="Arial"/>
          <w:b/>
          <w:color w:val="000080"/>
          <w:sz w:val="32"/>
          <w:szCs w:val="32"/>
        </w:rPr>
        <w:tab/>
      </w:r>
    </w:p>
    <w:p w14:paraId="29576816" w14:textId="77777777" w:rsidR="003D244A" w:rsidRPr="00226A14" w:rsidRDefault="003D244A" w:rsidP="00D80928">
      <w:pPr>
        <w:rPr>
          <w:rFonts w:ascii="Arial" w:hAnsi="Arial" w:cs="Arial"/>
          <w:b/>
          <w:sz w:val="32"/>
          <w:szCs w:val="32"/>
        </w:rPr>
      </w:pP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sz w:val="32"/>
          <w:szCs w:val="32"/>
        </w:rPr>
        <w:tab/>
      </w:r>
      <w:r w:rsidRPr="00226A14">
        <w:rPr>
          <w:rFonts w:ascii="Arial" w:hAnsi="Arial" w:cs="Arial"/>
          <w:b/>
          <w:sz w:val="32"/>
          <w:szCs w:val="32"/>
        </w:rPr>
        <w:tab/>
      </w:r>
      <w:r w:rsidRPr="00226A14">
        <w:rPr>
          <w:rFonts w:ascii="Arial" w:hAnsi="Arial" w:cs="Arial"/>
          <w:b/>
          <w:sz w:val="32"/>
          <w:szCs w:val="32"/>
        </w:rPr>
        <w:tab/>
      </w:r>
      <w:r w:rsidRPr="00226A14">
        <w:rPr>
          <w:rFonts w:ascii="Arial" w:hAnsi="Arial" w:cs="Arial"/>
          <w:b/>
          <w:sz w:val="32"/>
          <w:szCs w:val="32"/>
        </w:rPr>
        <w:tab/>
      </w:r>
      <w:r w:rsidRPr="00226A14">
        <w:rPr>
          <w:rFonts w:ascii="Arial" w:hAnsi="Arial" w:cs="Arial"/>
          <w:b/>
          <w:sz w:val="32"/>
          <w:szCs w:val="32"/>
        </w:rPr>
        <w:tab/>
      </w:r>
      <w:r w:rsidRPr="00226A14">
        <w:rPr>
          <w:rFonts w:ascii="Arial" w:hAnsi="Arial" w:cs="Arial"/>
          <w:b/>
          <w:sz w:val="32"/>
          <w:szCs w:val="32"/>
        </w:rPr>
        <w:tab/>
      </w:r>
      <w:r w:rsidRPr="00226A14">
        <w:rPr>
          <w:rFonts w:ascii="Arial" w:hAnsi="Arial" w:cs="Arial"/>
          <w:b/>
          <w:sz w:val="32"/>
          <w:szCs w:val="32"/>
        </w:rPr>
        <w:tab/>
      </w:r>
      <w:r w:rsidRPr="00226A14">
        <w:rPr>
          <w:rFonts w:ascii="Arial" w:hAnsi="Arial" w:cs="Arial"/>
          <w:b/>
          <w:sz w:val="32"/>
          <w:szCs w:val="32"/>
        </w:rPr>
        <w:tab/>
      </w:r>
      <w:r w:rsidRPr="00226A14">
        <w:rPr>
          <w:rFonts w:ascii="Arial" w:hAnsi="Arial" w:cs="Arial"/>
          <w:b/>
          <w:sz w:val="32"/>
          <w:szCs w:val="32"/>
        </w:rPr>
        <w:tab/>
      </w:r>
    </w:p>
    <w:p w14:paraId="1940DB54" w14:textId="77777777" w:rsidR="003D244A" w:rsidRDefault="003D244A" w:rsidP="00D80928">
      <w:pPr>
        <w:rPr>
          <w:rFonts w:ascii="Arial" w:hAnsi="Arial" w:cs="Arial"/>
          <w:b/>
          <w:sz w:val="32"/>
          <w:szCs w:val="32"/>
        </w:rPr>
      </w:pPr>
    </w:p>
    <w:p w14:paraId="682AD5FE" w14:textId="77777777" w:rsidR="003D244A" w:rsidRDefault="003D244A" w:rsidP="00D80928">
      <w:pPr>
        <w:rPr>
          <w:rFonts w:ascii="Arial" w:hAnsi="Arial" w:cs="Arial"/>
          <w:b/>
          <w:sz w:val="32"/>
          <w:szCs w:val="32"/>
        </w:rPr>
      </w:pPr>
    </w:p>
    <w:p w14:paraId="4E605F1E" w14:textId="77777777" w:rsidR="003D244A" w:rsidRPr="00226A14" w:rsidRDefault="003D244A" w:rsidP="00D80928">
      <w:pPr>
        <w:rPr>
          <w:color w:val="000090"/>
          <w:sz w:val="16"/>
          <w:szCs w:val="16"/>
        </w:rPr>
      </w:pPr>
      <w:r w:rsidRPr="00226A14">
        <w:rPr>
          <w:rFonts w:ascii="Arial" w:hAnsi="Arial" w:cs="Arial"/>
          <w:b/>
          <w:sz w:val="32"/>
          <w:szCs w:val="32"/>
        </w:rPr>
        <w:tab/>
      </w:r>
      <w:r w:rsidRPr="00226A14">
        <w:rPr>
          <w:rFonts w:ascii="Arial" w:hAnsi="Arial" w:cs="Arial"/>
          <w:b/>
          <w:sz w:val="32"/>
          <w:szCs w:val="32"/>
        </w:rPr>
        <w:tab/>
      </w:r>
      <w:r w:rsidRPr="00226A14">
        <w:rPr>
          <w:rFonts w:ascii="Arial" w:hAnsi="Arial" w:cs="Arial"/>
          <w:b/>
          <w:color w:val="000090"/>
          <w:sz w:val="32"/>
          <w:szCs w:val="32"/>
        </w:rPr>
        <w:t xml:space="preserve">      </w:t>
      </w:r>
      <w:r w:rsidRPr="00226A14">
        <w:rPr>
          <w:color w:val="000090"/>
          <w:sz w:val="16"/>
          <w:szCs w:val="16"/>
        </w:rPr>
        <w:t xml:space="preserve">This report and its contents, including all graphics, are proprietary information belonging to Gatti Evaluation Inc. </w:t>
      </w:r>
      <w:r w:rsidRPr="00226A14">
        <w:rPr>
          <w:color w:val="000090"/>
          <w:sz w:val="16"/>
          <w:szCs w:val="16"/>
        </w:rPr>
        <w:tab/>
        <w:t xml:space="preserve">       </w:t>
      </w:r>
      <w:r w:rsidRPr="00226A14">
        <w:rPr>
          <w:rFonts w:ascii="Arial" w:hAnsi="Arial" w:cs="Arial"/>
          <w:b/>
          <w:color w:val="000090"/>
          <w:sz w:val="32"/>
          <w:szCs w:val="32"/>
        </w:rPr>
        <w:tab/>
      </w:r>
      <w:r w:rsidRPr="00226A14">
        <w:rPr>
          <w:rFonts w:ascii="Arial" w:hAnsi="Arial" w:cs="Arial"/>
          <w:b/>
          <w:color w:val="000090"/>
          <w:sz w:val="32"/>
          <w:szCs w:val="32"/>
        </w:rPr>
        <w:tab/>
        <w:t xml:space="preserve">      </w:t>
      </w:r>
      <w:r w:rsidRPr="00226A14">
        <w:rPr>
          <w:color w:val="000090"/>
          <w:sz w:val="16"/>
          <w:szCs w:val="16"/>
        </w:rPr>
        <w:t xml:space="preserve">No part of this report may be reproduced or used for any purpose without permission from Gatti Evaluation Inc. </w:t>
      </w:r>
      <w:r w:rsidRPr="00226A14">
        <w:rPr>
          <w:color w:val="000090"/>
          <w:sz w:val="16"/>
          <w:szCs w:val="16"/>
        </w:rPr>
        <w:tab/>
        <w:t xml:space="preserve">      </w:t>
      </w:r>
    </w:p>
    <w:p w14:paraId="622DE6AD" w14:textId="77777777" w:rsidR="003D244A" w:rsidRPr="00226A14" w:rsidRDefault="003D244A" w:rsidP="00D80928">
      <w:pPr>
        <w:rPr>
          <w:rFonts w:ascii="Arial" w:hAnsi="Arial" w:cs="Arial"/>
        </w:rPr>
      </w:pPr>
      <w:r w:rsidRPr="00226A14">
        <w:rPr>
          <w:rFonts w:ascii="Arial" w:hAnsi="Arial" w:cs="Arial"/>
          <w:b/>
          <w:sz w:val="32"/>
          <w:szCs w:val="32"/>
        </w:rPr>
        <w:tab/>
      </w:r>
      <w:r w:rsidRPr="00226A14">
        <w:rPr>
          <w:rFonts w:ascii="Arial" w:hAnsi="Arial" w:cs="Arial"/>
          <w:b/>
          <w:sz w:val="32"/>
          <w:szCs w:val="32"/>
        </w:rPr>
        <w:tab/>
      </w:r>
      <w:r w:rsidRPr="00226A14">
        <w:rPr>
          <w:rFonts w:ascii="Arial" w:hAnsi="Arial" w:cs="Arial"/>
          <w:b/>
          <w:sz w:val="32"/>
          <w:szCs w:val="32"/>
        </w:rPr>
        <w:tab/>
      </w:r>
      <w:r w:rsidRPr="00226A14">
        <w:rPr>
          <w:rFonts w:ascii="Arial" w:hAnsi="Arial" w:cs="Arial"/>
          <w:b/>
          <w:sz w:val="32"/>
          <w:szCs w:val="32"/>
        </w:rPr>
        <w:tab/>
      </w:r>
      <w:r w:rsidRPr="00226A14">
        <w:rPr>
          <w:rFonts w:ascii="Arial" w:hAnsi="Arial" w:cs="Arial"/>
          <w:b/>
          <w:sz w:val="32"/>
          <w:szCs w:val="32"/>
        </w:rPr>
        <w:tab/>
      </w:r>
      <w:r w:rsidRPr="00226A14">
        <w:rPr>
          <w:rFonts w:ascii="Arial" w:hAnsi="Arial" w:cs="Arial"/>
          <w:b/>
          <w:sz w:val="32"/>
          <w:szCs w:val="32"/>
        </w:rPr>
        <w:tab/>
      </w:r>
      <w:r w:rsidRPr="00226A14">
        <w:rPr>
          <w:rFonts w:ascii="Arial" w:hAnsi="Arial" w:cs="Arial"/>
          <w:b/>
          <w:sz w:val="32"/>
          <w:szCs w:val="32"/>
        </w:rPr>
        <w:tab/>
      </w:r>
      <w:r w:rsidRPr="00226A14">
        <w:rPr>
          <w:rFonts w:ascii="Arial" w:hAnsi="Arial" w:cs="Arial"/>
          <w:b/>
          <w:sz w:val="32"/>
          <w:szCs w:val="32"/>
        </w:rPr>
        <w:tab/>
      </w:r>
      <w:r w:rsidRPr="00226A14">
        <w:rPr>
          <w:rFonts w:ascii="Arial" w:hAnsi="Arial" w:cs="Arial"/>
          <w:b/>
          <w:sz w:val="32"/>
          <w:szCs w:val="32"/>
        </w:rPr>
        <w:tab/>
      </w:r>
      <w:r w:rsidRPr="00226A14">
        <w:rPr>
          <w:rFonts w:ascii="Arial" w:hAnsi="Arial" w:cs="Arial"/>
          <w:b/>
          <w:sz w:val="32"/>
          <w:szCs w:val="32"/>
        </w:rPr>
        <w:tab/>
      </w:r>
      <w:r w:rsidRPr="00226A14">
        <w:rPr>
          <w:rFonts w:ascii="Arial" w:hAnsi="Arial" w:cs="Arial"/>
          <w:b/>
          <w:sz w:val="32"/>
          <w:szCs w:val="32"/>
        </w:rPr>
        <w:tab/>
      </w:r>
      <w:r w:rsidRPr="00226A14">
        <w:rPr>
          <w:rFonts w:ascii="Arial" w:hAnsi="Arial" w:cs="Arial"/>
          <w:b/>
          <w:sz w:val="32"/>
          <w:szCs w:val="32"/>
        </w:rPr>
        <w:tab/>
      </w:r>
      <w:r w:rsidRPr="00226A14">
        <w:rPr>
          <w:rFonts w:ascii="Arial" w:hAnsi="Arial" w:cs="Arial"/>
          <w:b/>
          <w:sz w:val="32"/>
          <w:szCs w:val="32"/>
        </w:rPr>
        <w:tab/>
      </w:r>
    </w:p>
    <w:p w14:paraId="15F76074" w14:textId="77777777" w:rsidR="003D244A" w:rsidRDefault="003D244A" w:rsidP="00D80928">
      <w:pPr>
        <w:autoSpaceDE w:val="0"/>
        <w:autoSpaceDN w:val="0"/>
        <w:adjustRightInd w:val="0"/>
        <w:rPr>
          <w:b/>
          <w:sz w:val="8"/>
          <w:szCs w:val="8"/>
          <w:highlight w:val="darkBlue"/>
        </w:rPr>
      </w:pPr>
      <w:r w:rsidRPr="00226A14">
        <w:rPr>
          <w:b/>
          <w:sz w:val="8"/>
          <w:szCs w:val="8"/>
          <w:highlight w:val="darkBlue"/>
        </w:rPr>
        <w:tab/>
      </w:r>
      <w:r w:rsidRPr="00226A14">
        <w:rPr>
          <w:b/>
          <w:sz w:val="8"/>
          <w:szCs w:val="8"/>
          <w:highlight w:val="darkBlue"/>
        </w:rPr>
        <w:tab/>
      </w:r>
      <w:r w:rsidRPr="00226A14">
        <w:rPr>
          <w:b/>
          <w:sz w:val="8"/>
          <w:szCs w:val="8"/>
          <w:highlight w:val="darkBlue"/>
        </w:rPr>
        <w:tab/>
      </w:r>
      <w:r w:rsidRPr="00226A14">
        <w:rPr>
          <w:b/>
          <w:sz w:val="8"/>
          <w:szCs w:val="8"/>
          <w:highlight w:val="darkBlue"/>
        </w:rPr>
        <w:tab/>
      </w:r>
      <w:r w:rsidRPr="00226A14">
        <w:rPr>
          <w:b/>
          <w:sz w:val="8"/>
          <w:szCs w:val="8"/>
          <w:highlight w:val="darkBlue"/>
        </w:rPr>
        <w:tab/>
      </w:r>
      <w:r w:rsidRPr="00226A14">
        <w:rPr>
          <w:b/>
          <w:sz w:val="8"/>
          <w:szCs w:val="8"/>
          <w:highlight w:val="darkBlue"/>
        </w:rPr>
        <w:tab/>
      </w:r>
      <w:r w:rsidRPr="00226A14">
        <w:rPr>
          <w:b/>
          <w:sz w:val="8"/>
          <w:szCs w:val="8"/>
          <w:highlight w:val="darkBlue"/>
        </w:rPr>
        <w:tab/>
      </w:r>
      <w:r w:rsidRPr="00226A14">
        <w:rPr>
          <w:b/>
          <w:sz w:val="8"/>
          <w:szCs w:val="8"/>
          <w:highlight w:val="darkBlue"/>
        </w:rPr>
        <w:tab/>
      </w:r>
      <w:r w:rsidRPr="00226A14">
        <w:rPr>
          <w:b/>
          <w:sz w:val="8"/>
          <w:szCs w:val="8"/>
          <w:highlight w:val="darkBlue"/>
        </w:rPr>
        <w:tab/>
      </w:r>
      <w:r w:rsidRPr="00226A14">
        <w:rPr>
          <w:b/>
          <w:sz w:val="8"/>
          <w:szCs w:val="8"/>
          <w:highlight w:val="darkBlue"/>
        </w:rPr>
        <w:tab/>
      </w:r>
      <w:r w:rsidRPr="00226A14">
        <w:rPr>
          <w:b/>
          <w:sz w:val="8"/>
          <w:szCs w:val="8"/>
          <w:highlight w:val="darkBlue"/>
        </w:rPr>
        <w:tab/>
      </w:r>
      <w:r w:rsidRPr="00226A14">
        <w:rPr>
          <w:b/>
          <w:sz w:val="8"/>
          <w:szCs w:val="8"/>
          <w:highlight w:val="darkBlue"/>
        </w:rPr>
        <w:tab/>
      </w:r>
      <w:r w:rsidRPr="00226A14">
        <w:rPr>
          <w:b/>
          <w:sz w:val="8"/>
          <w:szCs w:val="8"/>
          <w:highlight w:val="darkBlue"/>
        </w:rPr>
        <w:tab/>
      </w:r>
    </w:p>
    <w:p w14:paraId="4E3C014E" w14:textId="77777777" w:rsidR="003D244A" w:rsidRDefault="003D244A" w:rsidP="00D80928">
      <w:pPr>
        <w:autoSpaceDE w:val="0"/>
        <w:autoSpaceDN w:val="0"/>
        <w:adjustRightInd w:val="0"/>
        <w:rPr>
          <w:b/>
          <w:sz w:val="8"/>
          <w:szCs w:val="8"/>
          <w:highlight w:val="darkBlue"/>
        </w:rPr>
      </w:pPr>
    </w:p>
    <w:p w14:paraId="6F0AEBE5" w14:textId="77777777" w:rsidR="003D244A" w:rsidRPr="00220FFA" w:rsidRDefault="003D244A" w:rsidP="00D80928">
      <w:pPr>
        <w:autoSpaceDE w:val="0"/>
        <w:autoSpaceDN w:val="0"/>
        <w:adjustRightInd w:val="0"/>
        <w:rPr>
          <w:b/>
          <w:sz w:val="8"/>
          <w:szCs w:val="8"/>
          <w:highlight w:val="darkBlue"/>
        </w:rPr>
      </w:pPr>
      <w:r w:rsidRPr="0009651D">
        <w:rPr>
          <w:b/>
          <w:color w:val="000080"/>
          <w:sz w:val="8"/>
          <w:szCs w:val="8"/>
          <w:highlight w:val="darkBlue"/>
        </w:rPr>
        <w:tab/>
      </w:r>
      <w:r w:rsidRPr="0009651D">
        <w:rPr>
          <w:b/>
          <w:color w:val="000080"/>
          <w:sz w:val="8"/>
          <w:szCs w:val="8"/>
          <w:highlight w:val="darkBlue"/>
        </w:rPr>
        <w:tab/>
      </w:r>
      <w:r w:rsidRPr="0009651D">
        <w:rPr>
          <w:b/>
          <w:color w:val="000080"/>
          <w:sz w:val="8"/>
          <w:szCs w:val="8"/>
          <w:highlight w:val="darkBlue"/>
        </w:rPr>
        <w:tab/>
      </w:r>
      <w:r w:rsidRPr="0009651D">
        <w:rPr>
          <w:b/>
          <w:color w:val="000080"/>
          <w:sz w:val="8"/>
          <w:szCs w:val="8"/>
          <w:highlight w:val="darkBlue"/>
        </w:rPr>
        <w:tab/>
      </w:r>
      <w:r w:rsidRPr="0009651D">
        <w:rPr>
          <w:b/>
          <w:color w:val="000080"/>
          <w:sz w:val="8"/>
          <w:szCs w:val="8"/>
          <w:highlight w:val="darkBlue"/>
        </w:rPr>
        <w:tab/>
      </w:r>
      <w:r w:rsidRPr="0009651D">
        <w:rPr>
          <w:b/>
          <w:color w:val="000080"/>
          <w:sz w:val="8"/>
          <w:szCs w:val="8"/>
          <w:highlight w:val="darkBlue"/>
        </w:rPr>
        <w:tab/>
      </w:r>
      <w:r w:rsidRPr="0009651D">
        <w:rPr>
          <w:b/>
          <w:color w:val="000080"/>
          <w:sz w:val="8"/>
          <w:szCs w:val="8"/>
          <w:highlight w:val="darkBlue"/>
        </w:rPr>
        <w:tab/>
      </w:r>
      <w:r w:rsidRPr="0009651D">
        <w:rPr>
          <w:b/>
          <w:color w:val="000080"/>
          <w:sz w:val="8"/>
          <w:szCs w:val="8"/>
          <w:highlight w:val="darkBlue"/>
        </w:rPr>
        <w:tab/>
      </w:r>
      <w:r w:rsidRPr="0009651D">
        <w:rPr>
          <w:b/>
          <w:color w:val="000080"/>
          <w:sz w:val="8"/>
          <w:szCs w:val="8"/>
          <w:highlight w:val="darkBlue"/>
        </w:rPr>
        <w:tab/>
      </w:r>
      <w:r w:rsidRPr="0009651D">
        <w:rPr>
          <w:b/>
          <w:color w:val="000080"/>
          <w:sz w:val="8"/>
          <w:szCs w:val="8"/>
          <w:highlight w:val="darkBlue"/>
        </w:rPr>
        <w:tab/>
      </w:r>
      <w:r w:rsidRPr="0009651D">
        <w:rPr>
          <w:b/>
          <w:color w:val="000080"/>
          <w:sz w:val="8"/>
          <w:szCs w:val="8"/>
          <w:highlight w:val="darkBlue"/>
        </w:rPr>
        <w:tab/>
      </w:r>
      <w:r w:rsidRPr="0009651D">
        <w:rPr>
          <w:b/>
          <w:color w:val="000080"/>
          <w:sz w:val="8"/>
          <w:szCs w:val="8"/>
          <w:highlight w:val="darkBlue"/>
        </w:rPr>
        <w:tab/>
      </w:r>
      <w:r w:rsidRPr="0009651D">
        <w:rPr>
          <w:b/>
          <w:color w:val="000080"/>
          <w:sz w:val="8"/>
          <w:szCs w:val="8"/>
          <w:highlight w:val="darkBlue"/>
        </w:rPr>
        <w:tab/>
      </w:r>
    </w:p>
    <w:p w14:paraId="110892E0" w14:textId="77777777" w:rsidR="003D244A" w:rsidRPr="00226A14" w:rsidRDefault="003D244A" w:rsidP="00D80928">
      <w:pPr>
        <w:rPr>
          <w:rFonts w:ascii="Arial" w:hAnsi="Arial" w:cs="Arial"/>
          <w:color w:val="000080"/>
        </w:rPr>
      </w:pP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p>
    <w:p w14:paraId="10F75765" w14:textId="77777777" w:rsidR="003D244A" w:rsidRPr="00226A14" w:rsidRDefault="003D244A" w:rsidP="00D80928">
      <w:pPr>
        <w:rPr>
          <w:rFonts w:ascii="Arial" w:hAnsi="Arial" w:cs="Arial"/>
          <w:color w:val="000080"/>
        </w:rPr>
      </w:pP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p>
    <w:p w14:paraId="7BE0841F" w14:textId="77777777" w:rsidR="003D244A" w:rsidRDefault="003D244A" w:rsidP="00D80928">
      <w:pPr>
        <w:rPr>
          <w:rFonts w:ascii="Arial" w:hAnsi="Arial" w:cs="Arial"/>
          <w:b/>
          <w:color w:val="000080"/>
          <w:sz w:val="32"/>
          <w:szCs w:val="32"/>
        </w:rPr>
      </w:pPr>
    </w:p>
    <w:p w14:paraId="6F398F92" w14:textId="77777777" w:rsidR="003D244A" w:rsidRDefault="003D244A" w:rsidP="00D80928">
      <w:pPr>
        <w:rPr>
          <w:rFonts w:ascii="Arial" w:hAnsi="Arial" w:cs="Arial"/>
          <w:b/>
          <w:color w:val="000080"/>
          <w:sz w:val="32"/>
          <w:szCs w:val="32"/>
        </w:rPr>
      </w:pPr>
    </w:p>
    <w:p w14:paraId="0E45CD0D" w14:textId="77777777" w:rsidR="003D244A" w:rsidRPr="00226A14" w:rsidRDefault="003D244A" w:rsidP="00D80928">
      <w:pPr>
        <w:rPr>
          <w:rFonts w:ascii="Arial" w:hAnsi="Arial" w:cs="Arial"/>
          <w:color w:val="000080"/>
        </w:rPr>
      </w:pP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p>
    <w:p w14:paraId="26D82CB0" w14:textId="77777777" w:rsidR="003D244A" w:rsidRPr="00226A14" w:rsidRDefault="003D244A" w:rsidP="00D80928">
      <w:pPr>
        <w:rPr>
          <w:rFonts w:ascii="Arial" w:hAnsi="Arial" w:cs="Arial"/>
          <w:color w:val="000080"/>
        </w:rPr>
      </w:pP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r w:rsidRPr="00226A14">
        <w:rPr>
          <w:rFonts w:ascii="Arial" w:hAnsi="Arial" w:cs="Arial"/>
          <w:b/>
          <w:color w:val="000080"/>
          <w:sz w:val="32"/>
          <w:szCs w:val="32"/>
        </w:rPr>
        <w:tab/>
      </w:r>
    </w:p>
    <w:p w14:paraId="4E3721EC" w14:textId="77777777" w:rsidR="003D244A" w:rsidRPr="00226A14" w:rsidRDefault="003D244A" w:rsidP="00220FFA">
      <w:pPr>
        <w:pStyle w:val="Heading2"/>
        <w:rPr>
          <w:rFonts w:ascii="Arial" w:hAnsi="Arial" w:cs="Arial"/>
          <w:color w:val="000080"/>
        </w:rPr>
      </w:pPr>
      <w:r w:rsidRPr="00226A14">
        <w:rPr>
          <w:rFonts w:ascii="Arial" w:hAnsi="Arial" w:cs="Arial"/>
          <w:color w:val="000080"/>
        </w:rPr>
        <w:t>Principal Investigator</w:t>
      </w:r>
    </w:p>
    <w:p w14:paraId="341D273D" w14:textId="77777777" w:rsidR="003D244A" w:rsidRPr="00226A14" w:rsidRDefault="003D244A" w:rsidP="00220FFA">
      <w:pPr>
        <w:jc w:val="center"/>
        <w:rPr>
          <w:rFonts w:ascii="Arial" w:hAnsi="Arial" w:cs="Arial"/>
          <w:color w:val="000080"/>
          <w:sz w:val="12"/>
          <w:szCs w:val="12"/>
        </w:rPr>
      </w:pPr>
    </w:p>
    <w:p w14:paraId="5D771418" w14:textId="77777777" w:rsidR="003D244A" w:rsidRPr="00226A14" w:rsidRDefault="003D244A" w:rsidP="00220FFA">
      <w:pPr>
        <w:jc w:val="center"/>
        <w:rPr>
          <w:rFonts w:ascii="Arial" w:hAnsi="Arial" w:cs="Arial"/>
          <w:color w:val="000080"/>
        </w:rPr>
      </w:pPr>
      <w:r w:rsidRPr="00226A14">
        <w:rPr>
          <w:rFonts w:ascii="Arial" w:hAnsi="Arial" w:cs="Arial"/>
          <w:color w:val="000080"/>
        </w:rPr>
        <w:t>Guido G. Gatti</w:t>
      </w:r>
    </w:p>
    <w:p w14:paraId="3C4ABAC1" w14:textId="77777777" w:rsidR="003D244A" w:rsidRPr="00226A14" w:rsidRDefault="003D244A" w:rsidP="00220FFA">
      <w:pPr>
        <w:jc w:val="center"/>
        <w:rPr>
          <w:rFonts w:ascii="Arial" w:hAnsi="Arial" w:cs="Arial"/>
          <w:b/>
          <w:i/>
          <w:color w:val="000080"/>
        </w:rPr>
      </w:pPr>
      <w:r w:rsidRPr="00226A14">
        <w:rPr>
          <w:rFonts w:ascii="Arial" w:hAnsi="Arial" w:cs="Arial"/>
          <w:b/>
          <w:i/>
          <w:color w:val="000080"/>
        </w:rPr>
        <w:t>Gatti Evaluation Inc.</w:t>
      </w:r>
    </w:p>
    <w:p w14:paraId="19EB5662" w14:textId="77777777" w:rsidR="003D244A" w:rsidRPr="00226A14" w:rsidRDefault="003D244A" w:rsidP="00220FFA">
      <w:pPr>
        <w:jc w:val="center"/>
        <w:rPr>
          <w:rFonts w:ascii="Arial" w:hAnsi="Arial" w:cs="Arial"/>
          <w:color w:val="000080"/>
        </w:rPr>
      </w:pPr>
      <w:r w:rsidRPr="00226A14">
        <w:rPr>
          <w:rFonts w:ascii="Arial" w:hAnsi="Arial" w:cs="Arial"/>
          <w:color w:val="000080"/>
        </w:rPr>
        <w:t>162 Fairfax Rd.</w:t>
      </w:r>
    </w:p>
    <w:p w14:paraId="745DA007" w14:textId="77777777" w:rsidR="003D244A" w:rsidRPr="00226A14" w:rsidRDefault="003D244A" w:rsidP="00220FFA">
      <w:pPr>
        <w:jc w:val="center"/>
        <w:rPr>
          <w:rFonts w:ascii="Arial" w:hAnsi="Arial" w:cs="Arial"/>
          <w:color w:val="000080"/>
        </w:rPr>
      </w:pPr>
      <w:r w:rsidRPr="00226A14">
        <w:rPr>
          <w:rFonts w:ascii="Arial" w:hAnsi="Arial" w:cs="Arial"/>
          <w:color w:val="000080"/>
        </w:rPr>
        <w:t>Pittsburgh, PA 15221</w:t>
      </w:r>
    </w:p>
    <w:p w14:paraId="46D10FBF" w14:textId="725E25C8" w:rsidR="003D244A" w:rsidRPr="00226A14" w:rsidRDefault="003D244A" w:rsidP="00220FFA">
      <w:pPr>
        <w:jc w:val="center"/>
        <w:rPr>
          <w:rFonts w:ascii="Arial" w:hAnsi="Arial" w:cs="Arial"/>
          <w:color w:val="000080"/>
        </w:rPr>
      </w:pPr>
      <w:r w:rsidRPr="00226A14">
        <w:rPr>
          <w:rFonts w:ascii="Arial" w:hAnsi="Arial" w:cs="Arial"/>
          <w:color w:val="000080"/>
        </w:rPr>
        <w:t>gggatti@gattieval</w:t>
      </w:r>
      <w:r w:rsidR="00D43045">
        <w:rPr>
          <w:rFonts w:ascii="Arial" w:hAnsi="Arial" w:cs="Arial"/>
          <w:color w:val="000080"/>
        </w:rPr>
        <w:t>uation</w:t>
      </w:r>
      <w:r w:rsidRPr="00226A14">
        <w:rPr>
          <w:rFonts w:ascii="Arial" w:hAnsi="Arial" w:cs="Arial"/>
          <w:color w:val="000080"/>
        </w:rPr>
        <w:t>.com</w:t>
      </w:r>
    </w:p>
    <w:p w14:paraId="5D55FF1B" w14:textId="77777777" w:rsidR="003D244A" w:rsidRPr="00226A14" w:rsidRDefault="003D244A" w:rsidP="00220FFA">
      <w:pPr>
        <w:jc w:val="center"/>
        <w:rPr>
          <w:rFonts w:ascii="Arial" w:hAnsi="Arial" w:cs="Arial"/>
          <w:color w:val="000080"/>
        </w:rPr>
      </w:pPr>
    </w:p>
    <w:p w14:paraId="47289E27" w14:textId="77777777" w:rsidR="003D244A" w:rsidRPr="00226A14" w:rsidRDefault="003D244A" w:rsidP="00220FFA">
      <w:pPr>
        <w:jc w:val="center"/>
        <w:rPr>
          <w:rFonts w:ascii="Arial" w:hAnsi="Arial" w:cs="Arial"/>
          <w:color w:val="000080"/>
        </w:rPr>
      </w:pPr>
    </w:p>
    <w:p w14:paraId="7C4814DB" w14:textId="77777777" w:rsidR="003D244A" w:rsidRPr="00226A14" w:rsidRDefault="003D244A" w:rsidP="00220FFA">
      <w:pPr>
        <w:jc w:val="center"/>
        <w:rPr>
          <w:rFonts w:ascii="Arial" w:hAnsi="Arial" w:cs="Arial"/>
          <w:color w:val="000080"/>
        </w:rPr>
      </w:pPr>
    </w:p>
    <w:p w14:paraId="74551BD4" w14:textId="77777777" w:rsidR="003D244A" w:rsidRPr="00226A14" w:rsidRDefault="003D244A" w:rsidP="00220FFA">
      <w:pPr>
        <w:jc w:val="center"/>
        <w:rPr>
          <w:rFonts w:ascii="Arial" w:hAnsi="Arial" w:cs="Arial"/>
          <w:color w:val="000080"/>
        </w:rPr>
      </w:pPr>
    </w:p>
    <w:p w14:paraId="0019810A" w14:textId="77777777" w:rsidR="003D244A" w:rsidRPr="00226A14" w:rsidRDefault="003D244A" w:rsidP="00220FFA">
      <w:pPr>
        <w:pStyle w:val="Heading2"/>
        <w:rPr>
          <w:rFonts w:ascii="Arial" w:hAnsi="Arial" w:cs="Arial"/>
          <w:color w:val="000080"/>
        </w:rPr>
      </w:pPr>
      <w:r w:rsidRPr="00226A14">
        <w:rPr>
          <w:rFonts w:ascii="Arial" w:hAnsi="Arial" w:cs="Arial"/>
          <w:color w:val="000080"/>
        </w:rPr>
        <w:t>Primary Stakeholder</w:t>
      </w:r>
    </w:p>
    <w:p w14:paraId="6D781B32" w14:textId="77777777" w:rsidR="003D244A" w:rsidRPr="00220FFA" w:rsidRDefault="003D244A" w:rsidP="00220FFA">
      <w:pPr>
        <w:jc w:val="center"/>
        <w:rPr>
          <w:rFonts w:ascii="Arial" w:hAnsi="Arial" w:cs="Arial"/>
          <w:color w:val="000080"/>
          <w:sz w:val="12"/>
          <w:szCs w:val="12"/>
        </w:rPr>
      </w:pPr>
    </w:p>
    <w:p w14:paraId="33B840B5" w14:textId="77777777" w:rsidR="003D244A" w:rsidRDefault="003D244A" w:rsidP="00220FFA">
      <w:pPr>
        <w:jc w:val="center"/>
        <w:rPr>
          <w:rFonts w:ascii="Arial" w:hAnsi="Arial" w:cs="Arial"/>
          <w:b/>
          <w:color w:val="000080"/>
        </w:rPr>
      </w:pPr>
      <w:r w:rsidRPr="00226A14">
        <w:rPr>
          <w:rFonts w:ascii="Arial" w:hAnsi="Arial" w:cs="Arial"/>
          <w:color w:val="000080"/>
        </w:rPr>
        <w:t xml:space="preserve">Funded By </w:t>
      </w:r>
      <w:r w:rsidRPr="00226A14">
        <w:rPr>
          <w:rFonts w:ascii="Arial" w:hAnsi="Arial" w:cs="Arial"/>
          <w:b/>
          <w:color w:val="000080"/>
        </w:rPr>
        <w:t>Pearson</w:t>
      </w:r>
    </w:p>
    <w:p w14:paraId="3E972477" w14:textId="77777777" w:rsidR="003D244A" w:rsidRPr="00220FFA" w:rsidRDefault="003D244A" w:rsidP="00220FFA">
      <w:pPr>
        <w:jc w:val="center"/>
        <w:rPr>
          <w:rFonts w:ascii="Arial" w:hAnsi="Arial" w:cs="Arial"/>
          <w:color w:val="000080"/>
          <w:sz w:val="12"/>
          <w:szCs w:val="12"/>
        </w:rPr>
      </w:pPr>
    </w:p>
    <w:p w14:paraId="475EB25C" w14:textId="3B84D3CF" w:rsidR="003D244A" w:rsidRPr="00226A14" w:rsidRDefault="003D244A" w:rsidP="00DB3AF0">
      <w:pPr>
        <w:jc w:val="center"/>
        <w:rPr>
          <w:rFonts w:ascii="Arial" w:hAnsi="Arial" w:cs="Arial"/>
          <w:i/>
          <w:color w:val="000080"/>
        </w:rPr>
      </w:pPr>
      <w:r w:rsidRPr="00226A14">
        <w:rPr>
          <w:rFonts w:ascii="Arial" w:hAnsi="Arial" w:cs="Arial"/>
          <w:i/>
          <w:color w:val="000080"/>
        </w:rPr>
        <w:t>For Information Please Contact:</w:t>
      </w:r>
    </w:p>
    <w:p w14:paraId="16ED580E" w14:textId="44F743A0" w:rsidR="003D244A" w:rsidRDefault="003D244A" w:rsidP="00220FFA">
      <w:pPr>
        <w:jc w:val="center"/>
        <w:rPr>
          <w:rFonts w:ascii="Arial" w:hAnsi="Arial" w:cs="Arial"/>
          <w:color w:val="000080"/>
          <w:sz w:val="12"/>
          <w:szCs w:val="12"/>
        </w:rPr>
      </w:pPr>
    </w:p>
    <w:p w14:paraId="2A57C264" w14:textId="54F1BCE1" w:rsidR="003D244A" w:rsidRPr="00DB3AF0" w:rsidRDefault="00DB3AF0" w:rsidP="00220FFA">
      <w:pPr>
        <w:jc w:val="center"/>
        <w:rPr>
          <w:rFonts w:ascii="Arial" w:hAnsi="Arial" w:cs="Arial"/>
          <w:color w:val="000080"/>
        </w:rPr>
      </w:pPr>
      <w:r w:rsidRPr="00DB3AF0">
        <w:rPr>
          <w:rFonts w:ascii="Arial" w:hAnsi="Arial" w:cs="Arial"/>
          <w:color w:val="000080"/>
        </w:rPr>
        <w:t>Ann</w:t>
      </w:r>
      <w:r w:rsidR="003D244A" w:rsidRPr="00DB3AF0">
        <w:rPr>
          <w:rFonts w:ascii="Arial" w:hAnsi="Arial" w:cs="Arial"/>
          <w:color w:val="000080"/>
        </w:rPr>
        <w:t xml:space="preserve"> </w:t>
      </w:r>
      <w:r w:rsidRPr="00DB3AF0">
        <w:rPr>
          <w:rFonts w:ascii="Arial" w:hAnsi="Arial" w:cs="Arial"/>
          <w:color w:val="000080"/>
        </w:rPr>
        <w:t>Vilcheck</w:t>
      </w:r>
    </w:p>
    <w:p w14:paraId="03F9A11B" w14:textId="4826F003" w:rsidR="00DB3AF0" w:rsidRPr="00DB3AF0" w:rsidRDefault="00DB3AF0" w:rsidP="00DC61FB">
      <w:pPr>
        <w:jc w:val="center"/>
        <w:rPr>
          <w:rFonts w:ascii="Arial" w:hAnsi="Arial" w:cs="Arial"/>
          <w:color w:val="000080"/>
        </w:rPr>
      </w:pPr>
      <w:r w:rsidRPr="00DB3AF0">
        <w:rPr>
          <w:rFonts w:ascii="Arial" w:hAnsi="Arial" w:cs="Arial"/>
          <w:color w:val="000080"/>
        </w:rPr>
        <w:t>Pro</w:t>
      </w:r>
      <w:r w:rsidR="00B12403">
        <w:rPr>
          <w:rFonts w:ascii="Arial" w:hAnsi="Arial" w:cs="Arial"/>
          <w:color w:val="000080"/>
        </w:rPr>
        <w:t>ject</w:t>
      </w:r>
      <w:r w:rsidRPr="00DB3AF0">
        <w:rPr>
          <w:rFonts w:ascii="Arial" w:hAnsi="Arial" w:cs="Arial"/>
          <w:color w:val="000080"/>
        </w:rPr>
        <w:t xml:space="preserve"> Manager</w:t>
      </w:r>
      <w:r w:rsidR="00DC61FB" w:rsidRPr="00DB3AF0">
        <w:rPr>
          <w:rFonts w:ascii="Arial" w:hAnsi="Arial" w:cs="Arial"/>
          <w:color w:val="000080"/>
        </w:rPr>
        <w:t xml:space="preserve">, </w:t>
      </w:r>
      <w:r w:rsidRPr="00DB3AF0">
        <w:rPr>
          <w:rFonts w:ascii="Arial" w:hAnsi="Arial" w:cs="Arial"/>
          <w:color w:val="000080"/>
        </w:rPr>
        <w:t>Academic &amp; Product Research</w:t>
      </w:r>
    </w:p>
    <w:p w14:paraId="03C93DBD" w14:textId="0B788AB5" w:rsidR="007C33FA" w:rsidRPr="00DB3AF0" w:rsidRDefault="00DB3AF0" w:rsidP="00DC61FB">
      <w:pPr>
        <w:jc w:val="center"/>
        <w:rPr>
          <w:rFonts w:ascii="Arial" w:hAnsi="Arial" w:cs="Arial"/>
          <w:color w:val="000080"/>
        </w:rPr>
      </w:pPr>
      <w:r w:rsidRPr="00DB3AF0">
        <w:rPr>
          <w:rFonts w:ascii="Arial" w:hAnsi="Arial" w:cs="Arial"/>
          <w:color w:val="000080"/>
        </w:rPr>
        <w:t>Ann.Vilcheck@</w:t>
      </w:r>
      <w:r w:rsidR="00B12403">
        <w:rPr>
          <w:rFonts w:ascii="Arial" w:hAnsi="Arial" w:cs="Arial"/>
          <w:color w:val="000080"/>
        </w:rPr>
        <w:t>P</w:t>
      </w:r>
      <w:r w:rsidRPr="00DB3AF0">
        <w:rPr>
          <w:rFonts w:ascii="Arial" w:hAnsi="Arial" w:cs="Arial"/>
          <w:color w:val="000080"/>
        </w:rPr>
        <w:t>earson.com</w:t>
      </w:r>
    </w:p>
    <w:p w14:paraId="40052673" w14:textId="77777777" w:rsidR="003D244A" w:rsidRDefault="003D244A" w:rsidP="00220FFA">
      <w:pPr>
        <w:jc w:val="center"/>
        <w:rPr>
          <w:rFonts w:ascii="Arial" w:hAnsi="Arial" w:cs="Arial"/>
          <w:b/>
          <w:color w:val="000080"/>
        </w:rPr>
      </w:pPr>
    </w:p>
    <w:p w14:paraId="20A0DADA" w14:textId="77777777" w:rsidR="003D244A" w:rsidRDefault="003D244A" w:rsidP="00220FFA">
      <w:pPr>
        <w:jc w:val="center"/>
        <w:rPr>
          <w:rFonts w:ascii="Arial" w:hAnsi="Arial" w:cs="Arial"/>
          <w:b/>
          <w:color w:val="000080"/>
        </w:rPr>
      </w:pPr>
    </w:p>
    <w:p w14:paraId="55F8A533" w14:textId="77777777" w:rsidR="003D244A" w:rsidRDefault="003D244A" w:rsidP="00D80928">
      <w:pPr>
        <w:rPr>
          <w:rFonts w:ascii="Arial" w:hAnsi="Arial" w:cs="Arial"/>
          <w:b/>
          <w:color w:val="000080"/>
        </w:rPr>
      </w:pPr>
    </w:p>
    <w:p w14:paraId="3EE684B9" w14:textId="77777777" w:rsidR="003D244A" w:rsidRDefault="003D244A" w:rsidP="00D80928">
      <w:pPr>
        <w:rPr>
          <w:rFonts w:ascii="Arial" w:hAnsi="Arial" w:cs="Arial"/>
          <w:b/>
          <w:color w:val="000080"/>
        </w:rPr>
      </w:pPr>
    </w:p>
    <w:p w14:paraId="2C7E75F7" w14:textId="77777777" w:rsidR="003D244A" w:rsidRDefault="003D244A" w:rsidP="00D80928">
      <w:pPr>
        <w:rPr>
          <w:rFonts w:ascii="Arial" w:hAnsi="Arial" w:cs="Arial"/>
          <w:b/>
          <w:color w:val="000080"/>
        </w:rPr>
      </w:pPr>
    </w:p>
    <w:p w14:paraId="0A804685" w14:textId="77777777" w:rsidR="003D244A" w:rsidRDefault="003D244A" w:rsidP="00D80928">
      <w:pPr>
        <w:rPr>
          <w:rFonts w:ascii="Arial" w:hAnsi="Arial" w:cs="Arial"/>
          <w:b/>
          <w:color w:val="000080"/>
        </w:rPr>
      </w:pPr>
      <w:r w:rsidRPr="00226A14">
        <w:rPr>
          <w:rFonts w:ascii="Arial" w:hAnsi="Arial" w:cs="Arial"/>
          <w:b/>
          <w:color w:val="000080"/>
        </w:rPr>
        <w:tab/>
      </w:r>
      <w:r w:rsidRPr="00226A14">
        <w:rPr>
          <w:rFonts w:ascii="Arial" w:hAnsi="Arial" w:cs="Arial"/>
          <w:b/>
          <w:color w:val="000080"/>
        </w:rPr>
        <w:tab/>
      </w:r>
    </w:p>
    <w:p w14:paraId="761E2239" w14:textId="77777777" w:rsidR="003D244A" w:rsidRDefault="003D244A" w:rsidP="00D80928">
      <w:pPr>
        <w:rPr>
          <w:rFonts w:ascii="Arial" w:hAnsi="Arial" w:cs="Arial"/>
          <w:b/>
          <w:color w:val="000080"/>
        </w:rPr>
      </w:pPr>
    </w:p>
    <w:p w14:paraId="7D13D09A" w14:textId="77777777" w:rsidR="002C2846" w:rsidRDefault="002C2846" w:rsidP="00D80928">
      <w:pPr>
        <w:rPr>
          <w:rFonts w:ascii="Arial" w:hAnsi="Arial" w:cs="Arial"/>
          <w:b/>
          <w:color w:val="000080"/>
        </w:rPr>
      </w:pPr>
    </w:p>
    <w:p w14:paraId="7C36935C" w14:textId="77777777" w:rsidR="003D244A" w:rsidRDefault="003D244A" w:rsidP="00D80928">
      <w:pPr>
        <w:rPr>
          <w:rFonts w:ascii="Arial" w:hAnsi="Arial" w:cs="Arial"/>
          <w:b/>
          <w:color w:val="000080"/>
        </w:rPr>
      </w:pPr>
    </w:p>
    <w:p w14:paraId="54C03485" w14:textId="77777777" w:rsidR="003D244A" w:rsidRDefault="003D244A" w:rsidP="00D80928">
      <w:pPr>
        <w:rPr>
          <w:rFonts w:ascii="Arial" w:hAnsi="Arial" w:cs="Arial"/>
          <w:b/>
          <w:color w:val="000080"/>
        </w:rPr>
      </w:pPr>
    </w:p>
    <w:p w14:paraId="6CABB525" w14:textId="77777777" w:rsidR="003D244A" w:rsidRDefault="003D244A" w:rsidP="00D80928">
      <w:pPr>
        <w:rPr>
          <w:rFonts w:ascii="Arial" w:hAnsi="Arial" w:cs="Arial"/>
          <w:b/>
          <w:color w:val="000080"/>
        </w:rPr>
      </w:pPr>
    </w:p>
    <w:p w14:paraId="12513CB0" w14:textId="77777777" w:rsidR="003D244A" w:rsidRDefault="003D244A" w:rsidP="00D80928">
      <w:pPr>
        <w:rPr>
          <w:rFonts w:ascii="Arial" w:hAnsi="Arial" w:cs="Arial"/>
          <w:b/>
          <w:color w:val="000080"/>
        </w:rPr>
      </w:pPr>
    </w:p>
    <w:p w14:paraId="5191E34F" w14:textId="77777777" w:rsidR="003D244A" w:rsidRDefault="003D244A" w:rsidP="00D80928">
      <w:pPr>
        <w:rPr>
          <w:rFonts w:ascii="Arial" w:hAnsi="Arial" w:cs="Arial"/>
          <w:b/>
          <w:color w:val="000080"/>
        </w:rPr>
      </w:pPr>
    </w:p>
    <w:p w14:paraId="64CA3074" w14:textId="77777777" w:rsidR="003D244A" w:rsidRDefault="003D244A" w:rsidP="00D80928">
      <w:pPr>
        <w:rPr>
          <w:rFonts w:ascii="Arial" w:hAnsi="Arial" w:cs="Arial"/>
          <w:b/>
          <w:color w:val="000080"/>
        </w:rPr>
      </w:pPr>
    </w:p>
    <w:p w14:paraId="3BB1BB6A" w14:textId="77777777" w:rsidR="003D244A" w:rsidRPr="00226A14" w:rsidRDefault="003D244A" w:rsidP="00D80928">
      <w:pPr>
        <w:rPr>
          <w:rFonts w:ascii="Arial" w:hAnsi="Arial" w:cs="Arial"/>
          <w:color w:val="000080"/>
        </w:rPr>
      </w:pP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p>
    <w:p w14:paraId="2C6FB337" w14:textId="77777777" w:rsidR="003D244A" w:rsidRPr="00E606A8" w:rsidRDefault="003D244A" w:rsidP="00D80928">
      <w:pPr>
        <w:rPr>
          <w:rFonts w:ascii="Arial" w:hAnsi="Arial" w:cs="Arial"/>
          <w:b/>
          <w:color w:val="000080"/>
        </w:rPr>
      </w:pP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p>
    <w:p w14:paraId="6A85BC17" w14:textId="77777777" w:rsidR="00DB3AF0" w:rsidRDefault="003D244A" w:rsidP="00D80928">
      <w:pPr>
        <w:rPr>
          <w:rFonts w:ascii="Arial" w:hAnsi="Arial" w:cs="Arial"/>
          <w:b/>
          <w:color w:val="000080"/>
        </w:rPr>
      </w:pP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p>
    <w:p w14:paraId="7F22BBAD" w14:textId="77777777" w:rsidR="00DB3AF0" w:rsidRDefault="00DB3AF0" w:rsidP="00D80928">
      <w:pPr>
        <w:rPr>
          <w:rFonts w:ascii="Arial" w:hAnsi="Arial" w:cs="Arial"/>
          <w:b/>
          <w:color w:val="000080"/>
        </w:rPr>
      </w:pPr>
    </w:p>
    <w:p w14:paraId="3A13B7B6" w14:textId="77777777" w:rsidR="00DB3AF0" w:rsidRDefault="00DB3AF0" w:rsidP="00D80928">
      <w:pPr>
        <w:rPr>
          <w:rFonts w:ascii="Arial" w:hAnsi="Arial" w:cs="Arial"/>
          <w:b/>
          <w:color w:val="000080"/>
        </w:rPr>
      </w:pPr>
    </w:p>
    <w:p w14:paraId="1F086E43" w14:textId="77777777" w:rsidR="00DB3AF0" w:rsidRDefault="00DB3AF0" w:rsidP="00D80928">
      <w:pPr>
        <w:rPr>
          <w:rFonts w:ascii="Arial" w:hAnsi="Arial" w:cs="Arial"/>
          <w:b/>
          <w:color w:val="000080"/>
        </w:rPr>
      </w:pPr>
    </w:p>
    <w:p w14:paraId="543B196C" w14:textId="71CCD3CD" w:rsidR="003D244A" w:rsidRPr="00226A14" w:rsidRDefault="003D244A" w:rsidP="00D80928">
      <w:pPr>
        <w:rPr>
          <w:rFonts w:ascii="Arial" w:hAnsi="Arial" w:cs="Arial"/>
          <w:color w:val="000080"/>
        </w:rPr>
      </w:pP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p>
    <w:p w14:paraId="7A4B3945" w14:textId="77777777" w:rsidR="003D244A" w:rsidRPr="00226A14" w:rsidRDefault="003D244A" w:rsidP="00D80928">
      <w:pPr>
        <w:rPr>
          <w:rFonts w:ascii="Arial" w:hAnsi="Arial" w:cs="Arial"/>
          <w:b/>
          <w:color w:val="000080"/>
        </w:rPr>
      </w:pP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r w:rsidRPr="00226A14">
        <w:rPr>
          <w:rFonts w:ascii="Arial" w:hAnsi="Arial" w:cs="Arial"/>
          <w:b/>
          <w:color w:val="000080"/>
        </w:rPr>
        <w:tab/>
      </w:r>
    </w:p>
    <w:p w14:paraId="32E101A1" w14:textId="77777777" w:rsidR="0068733E" w:rsidRDefault="003D244A" w:rsidP="00D80928">
      <w:pPr>
        <w:autoSpaceDE w:val="0"/>
        <w:autoSpaceDN w:val="0"/>
        <w:adjustRightInd w:val="0"/>
        <w:rPr>
          <w:b/>
          <w:color w:val="000080"/>
          <w:sz w:val="8"/>
          <w:szCs w:val="8"/>
          <w:highlight w:val="darkBlue"/>
        </w:rPr>
      </w:pPr>
      <w:r w:rsidRPr="0009651D">
        <w:rPr>
          <w:b/>
          <w:color w:val="000080"/>
          <w:sz w:val="8"/>
          <w:szCs w:val="8"/>
          <w:highlight w:val="darkBlue"/>
        </w:rPr>
        <w:tab/>
      </w:r>
      <w:r w:rsidRPr="0009651D">
        <w:rPr>
          <w:b/>
          <w:color w:val="000080"/>
          <w:sz w:val="8"/>
          <w:szCs w:val="8"/>
          <w:highlight w:val="darkBlue"/>
        </w:rPr>
        <w:tab/>
      </w:r>
      <w:r w:rsidRPr="0009651D">
        <w:rPr>
          <w:b/>
          <w:color w:val="000080"/>
          <w:sz w:val="8"/>
          <w:szCs w:val="8"/>
          <w:highlight w:val="darkBlue"/>
        </w:rPr>
        <w:tab/>
      </w:r>
      <w:r w:rsidRPr="0009651D">
        <w:rPr>
          <w:b/>
          <w:color w:val="000080"/>
          <w:sz w:val="8"/>
          <w:szCs w:val="8"/>
          <w:highlight w:val="darkBlue"/>
        </w:rPr>
        <w:tab/>
      </w:r>
      <w:r w:rsidRPr="0009651D">
        <w:rPr>
          <w:b/>
          <w:color w:val="000080"/>
          <w:sz w:val="8"/>
          <w:szCs w:val="8"/>
          <w:highlight w:val="darkBlue"/>
        </w:rPr>
        <w:tab/>
      </w:r>
      <w:r w:rsidRPr="0009651D">
        <w:rPr>
          <w:b/>
          <w:color w:val="000080"/>
          <w:sz w:val="8"/>
          <w:szCs w:val="8"/>
          <w:highlight w:val="darkBlue"/>
        </w:rPr>
        <w:tab/>
      </w:r>
      <w:r w:rsidRPr="0009651D">
        <w:rPr>
          <w:b/>
          <w:color w:val="000080"/>
          <w:sz w:val="8"/>
          <w:szCs w:val="8"/>
          <w:highlight w:val="darkBlue"/>
        </w:rPr>
        <w:tab/>
      </w:r>
      <w:r w:rsidRPr="0009651D">
        <w:rPr>
          <w:b/>
          <w:color w:val="000080"/>
          <w:sz w:val="8"/>
          <w:szCs w:val="8"/>
          <w:highlight w:val="darkBlue"/>
        </w:rPr>
        <w:tab/>
      </w:r>
      <w:r w:rsidRPr="0009651D">
        <w:rPr>
          <w:b/>
          <w:color w:val="000080"/>
          <w:sz w:val="8"/>
          <w:szCs w:val="8"/>
          <w:highlight w:val="darkBlue"/>
        </w:rPr>
        <w:tab/>
      </w:r>
      <w:r w:rsidRPr="0009651D">
        <w:rPr>
          <w:b/>
          <w:color w:val="000080"/>
          <w:sz w:val="8"/>
          <w:szCs w:val="8"/>
          <w:highlight w:val="darkBlue"/>
        </w:rPr>
        <w:tab/>
      </w:r>
      <w:r w:rsidRPr="0009651D">
        <w:rPr>
          <w:b/>
          <w:color w:val="000080"/>
          <w:sz w:val="8"/>
          <w:szCs w:val="8"/>
          <w:highlight w:val="darkBlue"/>
        </w:rPr>
        <w:tab/>
      </w:r>
      <w:r w:rsidRPr="0009651D">
        <w:rPr>
          <w:b/>
          <w:color w:val="000080"/>
          <w:sz w:val="8"/>
          <w:szCs w:val="8"/>
          <w:highlight w:val="darkBlue"/>
        </w:rPr>
        <w:tab/>
      </w:r>
      <w:r w:rsidRPr="0009651D">
        <w:rPr>
          <w:b/>
          <w:color w:val="000080"/>
          <w:sz w:val="8"/>
          <w:szCs w:val="8"/>
          <w:highlight w:val="darkBlue"/>
        </w:rPr>
        <w:tab/>
      </w:r>
    </w:p>
    <w:p w14:paraId="7D08572D" w14:textId="77777777" w:rsidR="0068733E" w:rsidRDefault="0068733E">
      <w:pPr>
        <w:rPr>
          <w:b/>
          <w:color w:val="000080"/>
          <w:sz w:val="8"/>
          <w:szCs w:val="8"/>
          <w:highlight w:val="darkBlue"/>
        </w:rPr>
      </w:pPr>
      <w:r>
        <w:rPr>
          <w:b/>
          <w:color w:val="000080"/>
          <w:sz w:val="8"/>
          <w:szCs w:val="8"/>
          <w:highlight w:val="darkBlue"/>
        </w:rPr>
        <w:br w:type="page"/>
      </w:r>
    </w:p>
    <w:p w14:paraId="44054372" w14:textId="77777777" w:rsidR="003D244A" w:rsidRPr="007F2468" w:rsidRDefault="003D244A" w:rsidP="00220FFA">
      <w:pPr>
        <w:rPr>
          <w:b/>
          <w:color w:val="FFFF99"/>
          <w:sz w:val="8"/>
          <w:szCs w:val="8"/>
          <w:highlight w:val="darkBlue"/>
        </w:rPr>
      </w:pPr>
      <w:r w:rsidRPr="007F2468">
        <w:rPr>
          <w:b/>
          <w:color w:val="FFFF99"/>
          <w:sz w:val="8"/>
          <w:szCs w:val="8"/>
          <w:highlight w:val="darkBlue"/>
        </w:rPr>
        <w:lastRenderedPageBreak/>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p>
    <w:p w14:paraId="18F94E0C" w14:textId="77777777" w:rsidR="003D244A" w:rsidRPr="00073301" w:rsidRDefault="003D244A" w:rsidP="00D80928">
      <w:pPr>
        <w:rPr>
          <w:color w:val="000080"/>
          <w:sz w:val="28"/>
          <w:szCs w:val="28"/>
        </w:rPr>
      </w:pPr>
      <w:r w:rsidRPr="00073301">
        <w:rPr>
          <w:b/>
          <w:color w:val="000080"/>
          <w:sz w:val="28"/>
          <w:szCs w:val="28"/>
        </w:rPr>
        <w:t xml:space="preserve">                                             TABLE OF CONTENTS</w:t>
      </w:r>
      <w:r w:rsidRPr="00073301">
        <w:rPr>
          <w:b/>
          <w:color w:val="000080"/>
          <w:sz w:val="28"/>
          <w:szCs w:val="28"/>
        </w:rPr>
        <w:tab/>
      </w:r>
      <w:r w:rsidRPr="00073301">
        <w:rPr>
          <w:b/>
          <w:color w:val="000080"/>
          <w:sz w:val="28"/>
          <w:szCs w:val="28"/>
        </w:rPr>
        <w:tab/>
      </w:r>
      <w:r w:rsidRPr="00073301">
        <w:rPr>
          <w:b/>
          <w:color w:val="000080"/>
          <w:sz w:val="28"/>
          <w:szCs w:val="28"/>
        </w:rPr>
        <w:tab/>
      </w:r>
      <w:r w:rsidRPr="00073301">
        <w:rPr>
          <w:b/>
          <w:color w:val="000080"/>
          <w:sz w:val="28"/>
          <w:szCs w:val="28"/>
        </w:rPr>
        <w:tab/>
      </w:r>
      <w:r w:rsidRPr="00073301">
        <w:rPr>
          <w:b/>
          <w:color w:val="000080"/>
          <w:sz w:val="28"/>
          <w:szCs w:val="28"/>
        </w:rPr>
        <w:tab/>
        <w:t xml:space="preserve">     </w:t>
      </w:r>
    </w:p>
    <w:p w14:paraId="2F33EFD6" w14:textId="77777777" w:rsidR="003D244A" w:rsidRPr="007F2468" w:rsidRDefault="003D244A" w:rsidP="00D80928">
      <w:pPr>
        <w:autoSpaceDE w:val="0"/>
        <w:autoSpaceDN w:val="0"/>
        <w:adjustRightInd w:val="0"/>
        <w:rPr>
          <w:b/>
          <w:color w:val="FFFF99"/>
          <w:sz w:val="8"/>
          <w:szCs w:val="8"/>
          <w:highlight w:val="darkBlue"/>
        </w:rPr>
      </w:pP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p>
    <w:p w14:paraId="7684B789" w14:textId="77777777" w:rsidR="0068733E" w:rsidRDefault="0068733E" w:rsidP="00305E1F">
      <w:pPr>
        <w:tabs>
          <w:tab w:val="left" w:pos="720"/>
          <w:tab w:val="left" w:pos="1440"/>
          <w:tab w:val="left" w:pos="1800"/>
          <w:tab w:val="left" w:pos="8640"/>
        </w:tabs>
        <w:jc w:val="both"/>
        <w:rPr>
          <w:color w:val="000000"/>
        </w:rPr>
      </w:pPr>
    </w:p>
    <w:p w14:paraId="5C81F7F5" w14:textId="77777777" w:rsidR="003D244A" w:rsidRPr="00B84514" w:rsidRDefault="003D244A" w:rsidP="00305E1F">
      <w:pPr>
        <w:tabs>
          <w:tab w:val="left" w:pos="720"/>
          <w:tab w:val="left" w:pos="1440"/>
          <w:tab w:val="left" w:pos="1800"/>
          <w:tab w:val="left" w:pos="2880"/>
          <w:tab w:val="left" w:pos="8640"/>
        </w:tabs>
        <w:ind w:firstLine="720"/>
        <w:jc w:val="both"/>
        <w:rPr>
          <w:color w:val="000000"/>
        </w:rPr>
      </w:pPr>
      <w:r w:rsidRPr="00B84514">
        <w:rPr>
          <w:color w:val="000000"/>
        </w:rPr>
        <w:t>EXECUTIVE SUMMARY</w:t>
      </w:r>
      <w:r w:rsidR="00E606A8" w:rsidRPr="00B84514">
        <w:rPr>
          <w:color w:val="000000"/>
        </w:rPr>
        <w:t xml:space="preserve"> </w:t>
      </w:r>
      <w:r w:rsidR="00305E1F" w:rsidRPr="00B84514">
        <w:rPr>
          <w:color w:val="000000"/>
        </w:rPr>
        <w:t>__________________________________________</w:t>
      </w:r>
      <w:r w:rsidR="00006AFD" w:rsidRPr="00B84514">
        <w:rPr>
          <w:color w:val="000000"/>
        </w:rPr>
        <w:tab/>
      </w:r>
      <w:r w:rsidR="004F5D2F" w:rsidRPr="00B84514">
        <w:rPr>
          <w:color w:val="000000"/>
        </w:rPr>
        <w:t>i</w:t>
      </w:r>
      <w:r w:rsidR="008937C3" w:rsidRPr="00B84514">
        <w:rPr>
          <w:color w:val="000000"/>
        </w:rPr>
        <w:t>-iii</w:t>
      </w:r>
      <w:r w:rsidR="00587623" w:rsidRPr="00B84514">
        <w:rPr>
          <w:color w:val="000000"/>
        </w:rPr>
        <w:tab/>
      </w:r>
    </w:p>
    <w:p w14:paraId="01124F25" w14:textId="77777777" w:rsidR="00587623" w:rsidRPr="00A8387B" w:rsidRDefault="00587623" w:rsidP="00305E1F">
      <w:pPr>
        <w:tabs>
          <w:tab w:val="left" w:pos="720"/>
          <w:tab w:val="left" w:pos="1440"/>
          <w:tab w:val="left" w:pos="1800"/>
          <w:tab w:val="left" w:pos="2880"/>
          <w:tab w:val="left" w:pos="8640"/>
        </w:tabs>
        <w:ind w:firstLine="720"/>
        <w:jc w:val="both"/>
        <w:rPr>
          <w:color w:val="000000"/>
          <w:highlight w:val="yellow"/>
        </w:rPr>
      </w:pPr>
    </w:p>
    <w:p w14:paraId="7172C4A8" w14:textId="2E8D0319" w:rsidR="00305E1F" w:rsidRPr="00C718EF" w:rsidRDefault="00305E1F" w:rsidP="00305E1F">
      <w:pPr>
        <w:tabs>
          <w:tab w:val="left" w:pos="720"/>
          <w:tab w:val="left" w:pos="1440"/>
          <w:tab w:val="left" w:pos="1800"/>
          <w:tab w:val="left" w:pos="8640"/>
        </w:tabs>
        <w:jc w:val="both"/>
        <w:rPr>
          <w:color w:val="000000"/>
        </w:rPr>
      </w:pPr>
      <w:r w:rsidRPr="00C718EF">
        <w:rPr>
          <w:color w:val="000000"/>
        </w:rPr>
        <w:t xml:space="preserve">I. </w:t>
      </w:r>
      <w:r w:rsidRPr="00C718EF">
        <w:rPr>
          <w:color w:val="000000"/>
        </w:rPr>
        <w:tab/>
      </w:r>
      <w:r w:rsidR="003D244A" w:rsidRPr="00C718EF">
        <w:rPr>
          <w:color w:val="000000"/>
        </w:rPr>
        <w:t>INTRODUCTION</w:t>
      </w:r>
      <w:r w:rsidR="00E606A8" w:rsidRPr="00C718EF">
        <w:rPr>
          <w:color w:val="000000"/>
        </w:rPr>
        <w:t xml:space="preserve"> </w:t>
      </w:r>
      <w:r w:rsidRPr="00C718EF">
        <w:rPr>
          <w:color w:val="000000"/>
        </w:rPr>
        <w:t>_________________________________________________</w:t>
      </w:r>
      <w:r w:rsidRPr="00C718EF">
        <w:rPr>
          <w:color w:val="000000"/>
        </w:rPr>
        <w:tab/>
      </w:r>
      <w:r w:rsidR="00006AFD" w:rsidRPr="00C718EF">
        <w:rPr>
          <w:color w:val="000000"/>
        </w:rPr>
        <w:t>1</w:t>
      </w:r>
      <w:r w:rsidR="00C56ADD" w:rsidRPr="00C718EF">
        <w:rPr>
          <w:color w:val="000000"/>
        </w:rPr>
        <w:t>-2</w:t>
      </w:r>
      <w:r w:rsidRPr="00C718EF">
        <w:rPr>
          <w:color w:val="000000"/>
          <w:sz w:val="16"/>
          <w:szCs w:val="16"/>
        </w:rPr>
        <w:tab/>
      </w:r>
      <w:r w:rsidRPr="00C718EF">
        <w:rPr>
          <w:color w:val="000000"/>
          <w:sz w:val="16"/>
          <w:szCs w:val="16"/>
        </w:rPr>
        <w:tab/>
      </w:r>
      <w:r w:rsidRPr="00C718EF">
        <w:rPr>
          <w:color w:val="000000"/>
          <w:sz w:val="16"/>
          <w:szCs w:val="16"/>
        </w:rPr>
        <w:tab/>
      </w:r>
      <w:r w:rsidRPr="00C718EF">
        <w:rPr>
          <w:color w:val="000000"/>
          <w:sz w:val="16"/>
          <w:szCs w:val="16"/>
        </w:rPr>
        <w:tab/>
      </w:r>
      <w:r w:rsidRPr="00C718EF">
        <w:rPr>
          <w:color w:val="000000"/>
          <w:sz w:val="16"/>
          <w:szCs w:val="16"/>
        </w:rPr>
        <w:tab/>
      </w:r>
      <w:r w:rsidRPr="00C718EF">
        <w:rPr>
          <w:color w:val="000000"/>
          <w:sz w:val="16"/>
          <w:szCs w:val="16"/>
        </w:rPr>
        <w:tab/>
      </w:r>
      <w:r w:rsidR="00C718EF" w:rsidRPr="00C718EF">
        <w:rPr>
          <w:color w:val="000000"/>
        </w:rPr>
        <w:tab/>
      </w:r>
      <w:r w:rsidR="00C718EF" w:rsidRPr="00C718EF">
        <w:rPr>
          <w:color w:val="000000"/>
        </w:rPr>
        <w:tab/>
      </w:r>
      <w:r w:rsidR="003D244A" w:rsidRPr="00C718EF">
        <w:rPr>
          <w:color w:val="000000"/>
        </w:rPr>
        <w:t>Study Goals</w:t>
      </w:r>
      <w:r w:rsidR="00A17113" w:rsidRPr="00C718EF">
        <w:rPr>
          <w:color w:val="000000"/>
        </w:rPr>
        <w:t xml:space="preserve"> and Research Questions</w:t>
      </w:r>
      <w:r w:rsidRPr="00C718EF">
        <w:rPr>
          <w:color w:val="000000"/>
        </w:rPr>
        <w:tab/>
      </w:r>
      <w:r w:rsidR="00B426A6" w:rsidRPr="00C718EF">
        <w:rPr>
          <w:color w:val="000000"/>
        </w:rPr>
        <w:t>1</w:t>
      </w:r>
    </w:p>
    <w:p w14:paraId="5AEF4B34" w14:textId="77777777" w:rsidR="00305E1F" w:rsidRPr="00A8387B" w:rsidRDefault="00305E1F" w:rsidP="00B426A6">
      <w:pPr>
        <w:tabs>
          <w:tab w:val="left" w:pos="720"/>
          <w:tab w:val="left" w:pos="1440"/>
          <w:tab w:val="left" w:pos="1800"/>
          <w:tab w:val="left" w:pos="8640"/>
        </w:tabs>
        <w:jc w:val="both"/>
        <w:rPr>
          <w:color w:val="000000"/>
          <w:highlight w:val="yellow"/>
        </w:rPr>
      </w:pPr>
    </w:p>
    <w:p w14:paraId="2924F291" w14:textId="3570BC42" w:rsidR="003D244A" w:rsidRPr="00C718EF" w:rsidRDefault="00305E1F" w:rsidP="00305E1F">
      <w:pPr>
        <w:tabs>
          <w:tab w:val="left" w:pos="0"/>
          <w:tab w:val="left" w:pos="720"/>
          <w:tab w:val="left" w:pos="1440"/>
          <w:tab w:val="left" w:pos="1800"/>
          <w:tab w:val="left" w:pos="8640"/>
        </w:tabs>
        <w:jc w:val="both"/>
        <w:rPr>
          <w:color w:val="000000"/>
        </w:rPr>
      </w:pPr>
      <w:r w:rsidRPr="00C718EF">
        <w:rPr>
          <w:color w:val="000000"/>
        </w:rPr>
        <w:t>II.</w:t>
      </w:r>
      <w:r w:rsidRPr="00C718EF">
        <w:rPr>
          <w:color w:val="000000"/>
        </w:rPr>
        <w:tab/>
      </w:r>
      <w:r w:rsidR="00D43045" w:rsidRPr="00C718EF">
        <w:rPr>
          <w:color w:val="000000"/>
        </w:rPr>
        <w:t>METHODOLOGY _</w:t>
      </w:r>
      <w:r w:rsidRPr="00C718EF">
        <w:rPr>
          <w:color w:val="000000"/>
        </w:rPr>
        <w:t>_______________________________________________</w:t>
      </w:r>
      <w:r w:rsidRPr="00C718EF">
        <w:rPr>
          <w:color w:val="000000"/>
        </w:rPr>
        <w:tab/>
      </w:r>
      <w:r w:rsidR="00C56ADD" w:rsidRPr="00C718EF">
        <w:rPr>
          <w:color w:val="000000"/>
        </w:rPr>
        <w:t>3-1</w:t>
      </w:r>
      <w:r w:rsidR="00C718EF" w:rsidRPr="00C718EF">
        <w:rPr>
          <w:color w:val="000000"/>
        </w:rPr>
        <w:t>7</w:t>
      </w:r>
      <w:r w:rsidR="003D244A" w:rsidRPr="00C718EF">
        <w:rPr>
          <w:color w:val="000000"/>
        </w:rPr>
        <w:tab/>
      </w:r>
    </w:p>
    <w:p w14:paraId="097A7501" w14:textId="77777777" w:rsidR="00305E1F" w:rsidRPr="00C718EF" w:rsidRDefault="003D244A" w:rsidP="00305E1F">
      <w:pPr>
        <w:tabs>
          <w:tab w:val="left" w:pos="720"/>
          <w:tab w:val="left" w:pos="1440"/>
          <w:tab w:val="left" w:pos="1800"/>
          <w:tab w:val="left" w:pos="8640"/>
        </w:tabs>
        <w:jc w:val="both"/>
        <w:rPr>
          <w:color w:val="000000"/>
          <w:sz w:val="16"/>
          <w:szCs w:val="16"/>
        </w:rPr>
      </w:pPr>
      <w:r w:rsidRPr="00C718EF">
        <w:rPr>
          <w:color w:val="000000"/>
          <w:sz w:val="16"/>
          <w:szCs w:val="16"/>
        </w:rPr>
        <w:tab/>
      </w:r>
      <w:r w:rsidRPr="00C718EF">
        <w:rPr>
          <w:color w:val="000000"/>
          <w:sz w:val="16"/>
          <w:szCs w:val="16"/>
        </w:rPr>
        <w:tab/>
      </w:r>
      <w:r w:rsidRPr="00C718EF">
        <w:rPr>
          <w:color w:val="000000"/>
          <w:sz w:val="16"/>
          <w:szCs w:val="16"/>
        </w:rPr>
        <w:tab/>
      </w:r>
    </w:p>
    <w:p w14:paraId="39E7500D" w14:textId="2C0443C5" w:rsidR="003D244A" w:rsidRPr="00C718EF" w:rsidRDefault="00305E1F" w:rsidP="00305E1F">
      <w:pPr>
        <w:tabs>
          <w:tab w:val="left" w:pos="720"/>
          <w:tab w:val="left" w:pos="1440"/>
          <w:tab w:val="left" w:pos="1800"/>
          <w:tab w:val="left" w:pos="8640"/>
        </w:tabs>
        <w:jc w:val="both"/>
        <w:rPr>
          <w:color w:val="000000"/>
        </w:rPr>
      </w:pPr>
      <w:r w:rsidRPr="00C718EF">
        <w:rPr>
          <w:color w:val="000000"/>
          <w:sz w:val="16"/>
          <w:szCs w:val="16"/>
        </w:rPr>
        <w:tab/>
      </w:r>
      <w:r w:rsidRPr="00C718EF">
        <w:rPr>
          <w:color w:val="000000"/>
          <w:sz w:val="16"/>
          <w:szCs w:val="16"/>
        </w:rPr>
        <w:tab/>
      </w:r>
      <w:r w:rsidR="003D244A" w:rsidRPr="00C718EF">
        <w:rPr>
          <w:color w:val="000000"/>
        </w:rPr>
        <w:t>Student Outcome Measures</w:t>
      </w:r>
      <w:r w:rsidRPr="00C718EF">
        <w:rPr>
          <w:color w:val="000000"/>
        </w:rPr>
        <w:tab/>
        <w:t>3</w:t>
      </w:r>
      <w:r w:rsidR="003D244A" w:rsidRPr="00C718EF">
        <w:rPr>
          <w:color w:val="000000"/>
        </w:rPr>
        <w:tab/>
      </w:r>
      <w:r w:rsidR="003D244A" w:rsidRPr="00C718EF">
        <w:rPr>
          <w:color w:val="000000"/>
        </w:rPr>
        <w:tab/>
      </w:r>
      <w:r w:rsidR="003D244A" w:rsidRPr="00C718EF">
        <w:rPr>
          <w:color w:val="000000"/>
        </w:rPr>
        <w:tab/>
        <w:t>Teacher Me</w:t>
      </w:r>
      <w:r w:rsidR="00A17113" w:rsidRPr="00C718EF">
        <w:rPr>
          <w:color w:val="000000"/>
        </w:rPr>
        <w:t>asures</w:t>
      </w:r>
      <w:r w:rsidRPr="00C718EF">
        <w:rPr>
          <w:color w:val="000000"/>
        </w:rPr>
        <w:tab/>
      </w:r>
      <w:r w:rsidR="00C718EF" w:rsidRPr="00C718EF">
        <w:rPr>
          <w:color w:val="000000"/>
        </w:rPr>
        <w:t>4</w:t>
      </w:r>
      <w:r w:rsidR="003D244A" w:rsidRPr="00C718EF">
        <w:rPr>
          <w:color w:val="000000"/>
        </w:rPr>
        <w:tab/>
      </w:r>
    </w:p>
    <w:p w14:paraId="79F6CE66" w14:textId="77777777" w:rsidR="003D244A" w:rsidRPr="00A8387B" w:rsidRDefault="00305E1F" w:rsidP="00305E1F">
      <w:pPr>
        <w:tabs>
          <w:tab w:val="left" w:pos="720"/>
          <w:tab w:val="left" w:pos="1440"/>
          <w:tab w:val="left" w:pos="1800"/>
          <w:tab w:val="left" w:pos="8640"/>
        </w:tabs>
        <w:jc w:val="both"/>
        <w:rPr>
          <w:color w:val="000000"/>
          <w:highlight w:val="yellow"/>
        </w:rPr>
      </w:pPr>
      <w:r w:rsidRPr="00C718EF">
        <w:rPr>
          <w:color w:val="000000"/>
        </w:rPr>
        <w:tab/>
      </w:r>
      <w:r w:rsidRPr="00C718EF">
        <w:rPr>
          <w:color w:val="000000"/>
        </w:rPr>
        <w:tab/>
      </w:r>
      <w:r w:rsidR="003D244A" w:rsidRPr="00C718EF">
        <w:rPr>
          <w:color w:val="000000"/>
        </w:rPr>
        <w:t xml:space="preserve">Site </w:t>
      </w:r>
      <w:r w:rsidR="00A17113" w:rsidRPr="00C718EF">
        <w:rPr>
          <w:color w:val="000000"/>
        </w:rPr>
        <w:t>Recruitment and Selection</w:t>
      </w:r>
      <w:r w:rsidRPr="00C718EF">
        <w:rPr>
          <w:color w:val="000000"/>
        </w:rPr>
        <w:tab/>
      </w:r>
      <w:r w:rsidR="00C56ADD" w:rsidRPr="00C718EF">
        <w:rPr>
          <w:color w:val="000000"/>
        </w:rPr>
        <w:t>7</w:t>
      </w:r>
      <w:r w:rsidR="003D244A" w:rsidRPr="00C718EF">
        <w:rPr>
          <w:color w:val="000000"/>
        </w:rPr>
        <w:tab/>
      </w:r>
    </w:p>
    <w:p w14:paraId="0C590A6E" w14:textId="4948DE57" w:rsidR="003D244A" w:rsidRPr="003A2522" w:rsidRDefault="003D244A" w:rsidP="00305E1F">
      <w:pPr>
        <w:tabs>
          <w:tab w:val="left" w:pos="720"/>
          <w:tab w:val="left" w:pos="1440"/>
          <w:tab w:val="left" w:pos="1800"/>
          <w:tab w:val="left" w:pos="8640"/>
        </w:tabs>
        <w:jc w:val="both"/>
        <w:rPr>
          <w:color w:val="000000"/>
        </w:rPr>
      </w:pPr>
      <w:r w:rsidRPr="003A2522">
        <w:rPr>
          <w:color w:val="000000"/>
        </w:rPr>
        <w:tab/>
      </w:r>
      <w:r w:rsidRPr="003A2522">
        <w:rPr>
          <w:color w:val="000000"/>
        </w:rPr>
        <w:tab/>
        <w:t xml:space="preserve">Comparison Classroom </w:t>
      </w:r>
      <w:r w:rsidR="009A4E1F" w:rsidRPr="003A2522">
        <w:rPr>
          <w:color w:val="000000"/>
        </w:rPr>
        <w:t>Literacy</w:t>
      </w:r>
      <w:r w:rsidR="00E61157" w:rsidRPr="003A2522">
        <w:rPr>
          <w:color w:val="000000"/>
        </w:rPr>
        <w:t xml:space="preserve"> Instruction</w:t>
      </w:r>
      <w:r w:rsidR="00305E1F" w:rsidRPr="003A2522">
        <w:rPr>
          <w:color w:val="000000"/>
        </w:rPr>
        <w:tab/>
      </w:r>
      <w:r w:rsidR="00B84514" w:rsidRPr="003A2522">
        <w:rPr>
          <w:color w:val="000000"/>
        </w:rPr>
        <w:t>8</w:t>
      </w:r>
      <w:r w:rsidRPr="003A2522">
        <w:rPr>
          <w:color w:val="000000"/>
        </w:rPr>
        <w:tab/>
      </w:r>
    </w:p>
    <w:p w14:paraId="4EF1DCAD" w14:textId="44731F27" w:rsidR="003D244A" w:rsidRPr="003A2522" w:rsidRDefault="003D244A" w:rsidP="00305E1F">
      <w:pPr>
        <w:tabs>
          <w:tab w:val="left" w:pos="720"/>
          <w:tab w:val="left" w:pos="1440"/>
          <w:tab w:val="left" w:pos="1800"/>
          <w:tab w:val="left" w:pos="8640"/>
        </w:tabs>
        <w:jc w:val="both"/>
        <w:rPr>
          <w:color w:val="000000"/>
        </w:rPr>
      </w:pPr>
      <w:r w:rsidRPr="003A2522">
        <w:rPr>
          <w:color w:val="000000"/>
        </w:rPr>
        <w:tab/>
      </w:r>
      <w:r w:rsidRPr="003A2522">
        <w:rPr>
          <w:color w:val="000000"/>
        </w:rPr>
        <w:tab/>
        <w:t>iLit Instruction and Implementation</w:t>
      </w:r>
      <w:r w:rsidR="00305E1F" w:rsidRPr="003A2522">
        <w:rPr>
          <w:color w:val="000000"/>
        </w:rPr>
        <w:tab/>
      </w:r>
      <w:r w:rsidR="00B84514" w:rsidRPr="003A2522">
        <w:rPr>
          <w:color w:val="000000"/>
        </w:rPr>
        <w:t>10</w:t>
      </w:r>
      <w:r w:rsidRPr="003A2522">
        <w:rPr>
          <w:color w:val="000000"/>
        </w:rPr>
        <w:tab/>
      </w:r>
    </w:p>
    <w:p w14:paraId="2FABB3F6" w14:textId="15F44F1B" w:rsidR="003D244A" w:rsidRPr="003A2522" w:rsidRDefault="003D244A" w:rsidP="00305E1F">
      <w:pPr>
        <w:tabs>
          <w:tab w:val="left" w:pos="720"/>
          <w:tab w:val="left" w:pos="1440"/>
          <w:tab w:val="left" w:pos="1800"/>
          <w:tab w:val="left" w:pos="8640"/>
        </w:tabs>
        <w:jc w:val="both"/>
        <w:rPr>
          <w:color w:val="000000"/>
        </w:rPr>
      </w:pPr>
      <w:r w:rsidRPr="003A2522">
        <w:rPr>
          <w:color w:val="000000"/>
        </w:rPr>
        <w:tab/>
      </w:r>
      <w:r w:rsidRPr="003A2522">
        <w:rPr>
          <w:color w:val="000000"/>
        </w:rPr>
        <w:tab/>
        <w:t>Participants</w:t>
      </w:r>
      <w:r w:rsidR="00305E1F" w:rsidRPr="003A2522">
        <w:rPr>
          <w:color w:val="000000"/>
        </w:rPr>
        <w:tab/>
        <w:t>1</w:t>
      </w:r>
      <w:r w:rsidR="00B84514" w:rsidRPr="003A2522">
        <w:rPr>
          <w:color w:val="000000"/>
        </w:rPr>
        <w:t>5</w:t>
      </w:r>
      <w:r w:rsidRPr="003A2522">
        <w:rPr>
          <w:color w:val="000000"/>
        </w:rPr>
        <w:tab/>
      </w:r>
    </w:p>
    <w:p w14:paraId="6923B969" w14:textId="7B470E2F" w:rsidR="003D244A" w:rsidRPr="003A2522" w:rsidRDefault="003D244A" w:rsidP="00305E1F">
      <w:pPr>
        <w:tabs>
          <w:tab w:val="left" w:pos="720"/>
          <w:tab w:val="left" w:pos="1440"/>
          <w:tab w:val="left" w:pos="1800"/>
          <w:tab w:val="left" w:pos="8640"/>
        </w:tabs>
        <w:jc w:val="both"/>
        <w:rPr>
          <w:color w:val="000000"/>
        </w:rPr>
      </w:pPr>
      <w:r w:rsidRPr="003A2522">
        <w:rPr>
          <w:color w:val="000000"/>
        </w:rPr>
        <w:tab/>
      </w:r>
      <w:r w:rsidRPr="003A2522">
        <w:rPr>
          <w:color w:val="000000"/>
        </w:rPr>
        <w:tab/>
        <w:t>Data Analysis Procedures</w:t>
      </w:r>
      <w:r w:rsidR="00305E1F" w:rsidRPr="003A2522">
        <w:rPr>
          <w:color w:val="000000"/>
        </w:rPr>
        <w:tab/>
      </w:r>
      <w:r w:rsidR="00B84514" w:rsidRPr="003A2522">
        <w:rPr>
          <w:color w:val="000000"/>
        </w:rPr>
        <w:t>16</w:t>
      </w:r>
      <w:r w:rsidRPr="003A2522">
        <w:rPr>
          <w:color w:val="000000"/>
        </w:rPr>
        <w:tab/>
      </w:r>
    </w:p>
    <w:p w14:paraId="1A8CD135" w14:textId="77777777" w:rsidR="003D244A" w:rsidRPr="003A2522" w:rsidRDefault="003D244A" w:rsidP="00305E1F">
      <w:pPr>
        <w:tabs>
          <w:tab w:val="left" w:pos="720"/>
          <w:tab w:val="left" w:pos="1440"/>
          <w:tab w:val="left" w:pos="1800"/>
          <w:tab w:val="left" w:pos="8640"/>
        </w:tabs>
        <w:jc w:val="both"/>
        <w:rPr>
          <w:color w:val="000000"/>
        </w:rPr>
      </w:pPr>
    </w:p>
    <w:p w14:paraId="27428C7D" w14:textId="7D717FD4" w:rsidR="003D244A" w:rsidRPr="003A2522" w:rsidRDefault="00305E1F" w:rsidP="00305E1F">
      <w:pPr>
        <w:tabs>
          <w:tab w:val="left" w:pos="720"/>
          <w:tab w:val="left" w:pos="1440"/>
          <w:tab w:val="left" w:pos="1800"/>
          <w:tab w:val="left" w:pos="8640"/>
        </w:tabs>
        <w:jc w:val="both"/>
        <w:rPr>
          <w:color w:val="000000"/>
        </w:rPr>
      </w:pPr>
      <w:r w:rsidRPr="003A2522">
        <w:rPr>
          <w:color w:val="000000"/>
        </w:rPr>
        <w:t>III.</w:t>
      </w:r>
      <w:r w:rsidRPr="003A2522">
        <w:rPr>
          <w:color w:val="000000"/>
        </w:rPr>
        <w:tab/>
        <w:t>RESULTS</w:t>
      </w:r>
      <w:r w:rsidRPr="003A2522">
        <w:rPr>
          <w:color w:val="000000"/>
        </w:rPr>
        <w:tab/>
      </w:r>
      <w:r w:rsidR="00E606A8" w:rsidRPr="003A2522">
        <w:rPr>
          <w:color w:val="000000"/>
        </w:rPr>
        <w:t xml:space="preserve"> </w:t>
      </w:r>
      <w:r w:rsidRPr="003A2522">
        <w:rPr>
          <w:color w:val="000000"/>
        </w:rPr>
        <w:t>_______________________________________________________</w:t>
      </w:r>
      <w:r w:rsidRPr="003A2522">
        <w:rPr>
          <w:color w:val="000000"/>
        </w:rPr>
        <w:tab/>
      </w:r>
      <w:r w:rsidR="00B84514" w:rsidRPr="003A2522">
        <w:rPr>
          <w:color w:val="000000"/>
        </w:rPr>
        <w:t>1</w:t>
      </w:r>
      <w:r w:rsidR="001441CA">
        <w:rPr>
          <w:color w:val="000000"/>
        </w:rPr>
        <w:t>9</w:t>
      </w:r>
      <w:r w:rsidR="00C56ADD" w:rsidRPr="003A2522">
        <w:rPr>
          <w:color w:val="000000"/>
        </w:rPr>
        <w:t>-2</w:t>
      </w:r>
      <w:r w:rsidR="001441CA">
        <w:rPr>
          <w:color w:val="000000"/>
        </w:rPr>
        <w:t>7</w:t>
      </w:r>
      <w:r w:rsidR="003D244A" w:rsidRPr="003A2522">
        <w:rPr>
          <w:color w:val="000000"/>
        </w:rPr>
        <w:tab/>
      </w:r>
    </w:p>
    <w:p w14:paraId="3F144DA9" w14:textId="6FFDBD8A" w:rsidR="003D244A" w:rsidRPr="003A2522" w:rsidRDefault="003D244A" w:rsidP="00305E1F">
      <w:pPr>
        <w:tabs>
          <w:tab w:val="left" w:pos="720"/>
          <w:tab w:val="left" w:pos="1440"/>
          <w:tab w:val="left" w:pos="1800"/>
          <w:tab w:val="left" w:pos="8640"/>
        </w:tabs>
        <w:jc w:val="both"/>
        <w:rPr>
          <w:color w:val="000000"/>
        </w:rPr>
      </w:pPr>
      <w:r w:rsidRPr="003A2522">
        <w:rPr>
          <w:color w:val="000000"/>
          <w:sz w:val="16"/>
          <w:szCs w:val="16"/>
        </w:rPr>
        <w:tab/>
      </w:r>
      <w:r w:rsidRPr="003A2522">
        <w:rPr>
          <w:color w:val="000000"/>
          <w:sz w:val="16"/>
          <w:szCs w:val="16"/>
        </w:rPr>
        <w:tab/>
      </w:r>
      <w:r w:rsidRPr="003A2522">
        <w:rPr>
          <w:color w:val="000000"/>
          <w:sz w:val="16"/>
          <w:szCs w:val="16"/>
        </w:rPr>
        <w:tab/>
      </w:r>
      <w:r w:rsidRPr="003A2522">
        <w:rPr>
          <w:color w:val="000000"/>
          <w:sz w:val="16"/>
          <w:szCs w:val="16"/>
        </w:rPr>
        <w:tab/>
      </w:r>
      <w:r w:rsidRPr="003A2522">
        <w:rPr>
          <w:color w:val="000000"/>
          <w:sz w:val="16"/>
          <w:szCs w:val="16"/>
        </w:rPr>
        <w:tab/>
      </w:r>
      <w:r w:rsidRPr="003A2522">
        <w:rPr>
          <w:color w:val="000000"/>
          <w:sz w:val="16"/>
          <w:szCs w:val="16"/>
        </w:rPr>
        <w:tab/>
      </w:r>
      <w:r w:rsidRPr="003A2522">
        <w:rPr>
          <w:color w:val="000000"/>
          <w:sz w:val="16"/>
          <w:szCs w:val="16"/>
        </w:rPr>
        <w:tab/>
      </w:r>
      <w:r w:rsidRPr="003A2522">
        <w:rPr>
          <w:color w:val="000000"/>
        </w:rPr>
        <w:t>Baseline Group Equivalence</w:t>
      </w:r>
      <w:r w:rsidR="00305E1F" w:rsidRPr="003A2522">
        <w:rPr>
          <w:color w:val="000000"/>
        </w:rPr>
        <w:tab/>
      </w:r>
      <w:r w:rsidR="00C56ADD" w:rsidRPr="003A2522">
        <w:rPr>
          <w:color w:val="000000"/>
        </w:rPr>
        <w:t>1</w:t>
      </w:r>
      <w:r w:rsidR="001441CA">
        <w:rPr>
          <w:color w:val="000000"/>
        </w:rPr>
        <w:t>9</w:t>
      </w:r>
      <w:r w:rsidRPr="003A2522">
        <w:rPr>
          <w:color w:val="000000"/>
        </w:rPr>
        <w:tab/>
      </w:r>
    </w:p>
    <w:p w14:paraId="08F4135B" w14:textId="0A28D432" w:rsidR="003D244A" w:rsidRPr="003A2522" w:rsidRDefault="003D244A" w:rsidP="00305E1F">
      <w:pPr>
        <w:tabs>
          <w:tab w:val="left" w:pos="720"/>
          <w:tab w:val="left" w:pos="1440"/>
          <w:tab w:val="left" w:pos="1800"/>
          <w:tab w:val="left" w:pos="8640"/>
        </w:tabs>
        <w:jc w:val="both"/>
        <w:rPr>
          <w:color w:val="000000"/>
        </w:rPr>
      </w:pPr>
      <w:r w:rsidRPr="003A2522">
        <w:rPr>
          <w:color w:val="000000"/>
        </w:rPr>
        <w:tab/>
      </w:r>
      <w:r w:rsidRPr="003A2522">
        <w:rPr>
          <w:color w:val="000000"/>
        </w:rPr>
        <w:tab/>
        <w:t>iLit Students’ Achievement Gains</w:t>
      </w:r>
      <w:r w:rsidR="00305E1F" w:rsidRPr="003A2522">
        <w:rPr>
          <w:color w:val="000000"/>
        </w:rPr>
        <w:tab/>
      </w:r>
      <w:r w:rsidR="001441CA">
        <w:rPr>
          <w:color w:val="000000"/>
        </w:rPr>
        <w:t>20</w:t>
      </w:r>
    </w:p>
    <w:p w14:paraId="16973E10" w14:textId="7D8B45E5" w:rsidR="003D244A" w:rsidRPr="003A2522" w:rsidRDefault="00305E1F" w:rsidP="00305E1F">
      <w:pPr>
        <w:tabs>
          <w:tab w:val="left" w:pos="720"/>
          <w:tab w:val="left" w:pos="1440"/>
          <w:tab w:val="left" w:pos="1800"/>
          <w:tab w:val="left" w:pos="8640"/>
        </w:tabs>
        <w:jc w:val="both"/>
        <w:rPr>
          <w:color w:val="000000"/>
        </w:rPr>
      </w:pPr>
      <w:r w:rsidRPr="003A2522">
        <w:rPr>
          <w:color w:val="000000"/>
        </w:rPr>
        <w:tab/>
      </w:r>
      <w:r w:rsidRPr="003A2522">
        <w:rPr>
          <w:color w:val="000000"/>
        </w:rPr>
        <w:tab/>
      </w:r>
      <w:r w:rsidR="003D244A" w:rsidRPr="003A2522">
        <w:rPr>
          <w:color w:val="000000"/>
        </w:rPr>
        <w:t xml:space="preserve">Group </w:t>
      </w:r>
      <w:r w:rsidR="001441CA" w:rsidRPr="003A2522">
        <w:rPr>
          <w:color w:val="000000"/>
        </w:rPr>
        <w:t xml:space="preserve">Achievement Gains </w:t>
      </w:r>
      <w:r w:rsidR="003D244A" w:rsidRPr="003A2522">
        <w:rPr>
          <w:color w:val="000000"/>
        </w:rPr>
        <w:t>Comparisons</w:t>
      </w:r>
      <w:r w:rsidRPr="003A2522">
        <w:rPr>
          <w:color w:val="000000"/>
        </w:rPr>
        <w:tab/>
      </w:r>
      <w:r w:rsidR="00B84514" w:rsidRPr="003A2522">
        <w:rPr>
          <w:color w:val="000000"/>
        </w:rPr>
        <w:t>2</w:t>
      </w:r>
      <w:r w:rsidR="001441CA">
        <w:rPr>
          <w:color w:val="000000"/>
        </w:rPr>
        <w:t>1</w:t>
      </w:r>
    </w:p>
    <w:p w14:paraId="4334A189" w14:textId="24710DF0" w:rsidR="003D244A" w:rsidRPr="003A2522" w:rsidRDefault="00305E1F" w:rsidP="00305E1F">
      <w:pPr>
        <w:tabs>
          <w:tab w:val="left" w:pos="720"/>
          <w:tab w:val="left" w:pos="1440"/>
          <w:tab w:val="left" w:pos="1800"/>
          <w:tab w:val="left" w:pos="8640"/>
        </w:tabs>
        <w:jc w:val="both"/>
        <w:rPr>
          <w:color w:val="000000"/>
        </w:rPr>
      </w:pPr>
      <w:r w:rsidRPr="003A2522">
        <w:rPr>
          <w:color w:val="000000"/>
        </w:rPr>
        <w:tab/>
      </w:r>
      <w:r w:rsidRPr="003A2522">
        <w:rPr>
          <w:color w:val="000000"/>
        </w:rPr>
        <w:tab/>
      </w:r>
      <w:r w:rsidR="003D244A" w:rsidRPr="003A2522">
        <w:rPr>
          <w:color w:val="000000"/>
        </w:rPr>
        <w:t>Student Academic Attitudes</w:t>
      </w:r>
      <w:r w:rsidRPr="003A2522">
        <w:rPr>
          <w:color w:val="000000"/>
        </w:rPr>
        <w:tab/>
      </w:r>
      <w:r w:rsidR="00B84514" w:rsidRPr="003A2522">
        <w:rPr>
          <w:color w:val="000000"/>
        </w:rPr>
        <w:t>2</w:t>
      </w:r>
      <w:r w:rsidR="001441CA">
        <w:rPr>
          <w:color w:val="000000"/>
        </w:rPr>
        <w:t>5</w:t>
      </w:r>
    </w:p>
    <w:p w14:paraId="5525E7AD" w14:textId="4481C7BE" w:rsidR="003D244A" w:rsidRPr="003A2522" w:rsidRDefault="00305E1F" w:rsidP="00305E1F">
      <w:pPr>
        <w:tabs>
          <w:tab w:val="left" w:pos="720"/>
          <w:tab w:val="left" w:pos="1440"/>
          <w:tab w:val="left" w:pos="1800"/>
          <w:tab w:val="left" w:pos="8640"/>
        </w:tabs>
        <w:jc w:val="both"/>
        <w:rPr>
          <w:color w:val="000000"/>
        </w:rPr>
      </w:pPr>
      <w:r w:rsidRPr="003A2522">
        <w:rPr>
          <w:color w:val="000000"/>
        </w:rPr>
        <w:tab/>
      </w:r>
      <w:r w:rsidRPr="003A2522">
        <w:rPr>
          <w:color w:val="000000"/>
        </w:rPr>
        <w:tab/>
      </w:r>
      <w:r w:rsidR="003D244A" w:rsidRPr="003A2522">
        <w:rPr>
          <w:color w:val="000000"/>
        </w:rPr>
        <w:t>Teacher and Student iLit Opinions</w:t>
      </w:r>
      <w:r w:rsidRPr="003A2522">
        <w:rPr>
          <w:color w:val="000000"/>
        </w:rPr>
        <w:tab/>
      </w:r>
      <w:r w:rsidR="00B84514" w:rsidRPr="003A2522">
        <w:rPr>
          <w:color w:val="000000"/>
        </w:rPr>
        <w:t>2</w:t>
      </w:r>
      <w:r w:rsidR="001441CA">
        <w:rPr>
          <w:color w:val="000000"/>
        </w:rPr>
        <w:t>6</w:t>
      </w:r>
      <w:r w:rsidR="003D244A" w:rsidRPr="003A2522">
        <w:rPr>
          <w:color w:val="000000"/>
        </w:rPr>
        <w:tab/>
      </w:r>
    </w:p>
    <w:p w14:paraId="2A35A8B2" w14:textId="77777777" w:rsidR="003D244A" w:rsidRPr="003A2522" w:rsidRDefault="003D244A" w:rsidP="00305E1F">
      <w:pPr>
        <w:tabs>
          <w:tab w:val="left" w:pos="720"/>
          <w:tab w:val="left" w:pos="1440"/>
          <w:tab w:val="left" w:pos="1800"/>
          <w:tab w:val="left" w:pos="8640"/>
        </w:tabs>
        <w:jc w:val="both"/>
        <w:rPr>
          <w:color w:val="000000"/>
        </w:rPr>
      </w:pPr>
    </w:p>
    <w:p w14:paraId="67958E20" w14:textId="1ABF038A" w:rsidR="003D244A" w:rsidRPr="003A2522" w:rsidRDefault="003D244A" w:rsidP="00305E1F">
      <w:pPr>
        <w:tabs>
          <w:tab w:val="left" w:pos="720"/>
          <w:tab w:val="left" w:pos="1440"/>
          <w:tab w:val="left" w:pos="1800"/>
          <w:tab w:val="left" w:pos="8640"/>
        </w:tabs>
        <w:jc w:val="both"/>
        <w:rPr>
          <w:color w:val="000000"/>
        </w:rPr>
      </w:pPr>
      <w:r w:rsidRPr="003A2522">
        <w:rPr>
          <w:color w:val="000000"/>
        </w:rPr>
        <w:t>IV.</w:t>
      </w:r>
      <w:r w:rsidRPr="003A2522">
        <w:rPr>
          <w:color w:val="000000"/>
        </w:rPr>
        <w:tab/>
      </w:r>
      <w:r w:rsidR="00D43045" w:rsidRPr="003A2522">
        <w:rPr>
          <w:color w:val="000000"/>
        </w:rPr>
        <w:t>DISCUSSION _</w:t>
      </w:r>
      <w:r w:rsidR="00E606A8" w:rsidRPr="003A2522">
        <w:rPr>
          <w:color w:val="000000"/>
        </w:rPr>
        <w:t>___________________________________________________</w:t>
      </w:r>
      <w:r w:rsidR="00E606A8" w:rsidRPr="003A2522">
        <w:rPr>
          <w:color w:val="000000"/>
        </w:rPr>
        <w:tab/>
      </w:r>
      <w:r w:rsidR="00C56ADD" w:rsidRPr="003A2522">
        <w:rPr>
          <w:color w:val="000000"/>
        </w:rPr>
        <w:t>2</w:t>
      </w:r>
      <w:r w:rsidR="001441CA">
        <w:rPr>
          <w:color w:val="000000"/>
        </w:rPr>
        <w:t>8</w:t>
      </w:r>
      <w:r w:rsidR="00587623" w:rsidRPr="003A2522">
        <w:rPr>
          <w:color w:val="000000"/>
        </w:rPr>
        <w:t>-2</w:t>
      </w:r>
      <w:r w:rsidR="001441CA">
        <w:rPr>
          <w:color w:val="000000"/>
        </w:rPr>
        <w:t>9</w:t>
      </w:r>
      <w:r w:rsidRPr="003A2522">
        <w:rPr>
          <w:color w:val="000000"/>
        </w:rPr>
        <w:tab/>
      </w:r>
    </w:p>
    <w:p w14:paraId="6F7A5D2E" w14:textId="77777777" w:rsidR="003D244A" w:rsidRPr="003A2522" w:rsidRDefault="003D244A" w:rsidP="00305E1F">
      <w:pPr>
        <w:tabs>
          <w:tab w:val="left" w:pos="720"/>
          <w:tab w:val="left" w:pos="1440"/>
          <w:tab w:val="left" w:pos="1800"/>
          <w:tab w:val="left" w:pos="8640"/>
        </w:tabs>
        <w:jc w:val="both"/>
        <w:rPr>
          <w:color w:val="000000"/>
        </w:rPr>
      </w:pPr>
    </w:p>
    <w:p w14:paraId="44559BB5" w14:textId="6AAB280F" w:rsidR="003D244A" w:rsidRPr="003A2522" w:rsidRDefault="001441CA" w:rsidP="00305E1F">
      <w:pPr>
        <w:tabs>
          <w:tab w:val="left" w:pos="720"/>
          <w:tab w:val="left" w:pos="1440"/>
          <w:tab w:val="left" w:pos="1800"/>
          <w:tab w:val="left" w:pos="8640"/>
        </w:tabs>
        <w:jc w:val="both"/>
        <w:rPr>
          <w:color w:val="000000"/>
        </w:rPr>
      </w:pPr>
      <w:r w:rsidRPr="003A2522">
        <w:rPr>
          <w:color w:val="000000"/>
        </w:rPr>
        <w:t xml:space="preserve">A.1 </w:t>
      </w:r>
      <w:r w:rsidRPr="003A2522">
        <w:rPr>
          <w:color w:val="000000"/>
        </w:rPr>
        <w:tab/>
      </w:r>
      <w:r>
        <w:rPr>
          <w:color w:val="000000"/>
        </w:rPr>
        <w:t xml:space="preserve">iLit </w:t>
      </w:r>
      <w:r w:rsidR="003D244A" w:rsidRPr="003A2522">
        <w:rPr>
          <w:color w:val="000000"/>
        </w:rPr>
        <w:t>Study Site Descriptions</w:t>
      </w:r>
      <w:r w:rsidR="00E606A8" w:rsidRPr="003A2522">
        <w:rPr>
          <w:color w:val="000000"/>
        </w:rPr>
        <w:tab/>
      </w:r>
      <w:r>
        <w:rPr>
          <w:color w:val="000000"/>
        </w:rPr>
        <w:t>30</w:t>
      </w:r>
      <w:r w:rsidR="00C56ADD" w:rsidRPr="003A2522">
        <w:rPr>
          <w:color w:val="000000"/>
        </w:rPr>
        <w:t>-3</w:t>
      </w:r>
      <w:r>
        <w:rPr>
          <w:color w:val="000000"/>
        </w:rPr>
        <w:t>6</w:t>
      </w:r>
    </w:p>
    <w:p w14:paraId="23433B1C" w14:textId="77777777" w:rsidR="003D244A" w:rsidRPr="003A2522" w:rsidRDefault="003D244A" w:rsidP="00305E1F">
      <w:pPr>
        <w:tabs>
          <w:tab w:val="left" w:pos="720"/>
          <w:tab w:val="left" w:pos="1440"/>
          <w:tab w:val="left" w:pos="1800"/>
          <w:tab w:val="left" w:pos="8640"/>
        </w:tabs>
        <w:autoSpaceDE w:val="0"/>
        <w:autoSpaceDN w:val="0"/>
        <w:adjustRightInd w:val="0"/>
        <w:jc w:val="both"/>
        <w:rPr>
          <w:color w:val="000000"/>
        </w:rPr>
      </w:pPr>
    </w:p>
    <w:p w14:paraId="653F582B" w14:textId="105856EC" w:rsidR="003D244A" w:rsidRPr="003A2522" w:rsidRDefault="003D244A" w:rsidP="00305E1F">
      <w:pPr>
        <w:tabs>
          <w:tab w:val="left" w:pos="720"/>
          <w:tab w:val="left" w:pos="1440"/>
          <w:tab w:val="left" w:pos="1800"/>
          <w:tab w:val="left" w:pos="8640"/>
        </w:tabs>
        <w:autoSpaceDE w:val="0"/>
        <w:autoSpaceDN w:val="0"/>
        <w:adjustRightInd w:val="0"/>
        <w:jc w:val="both"/>
        <w:rPr>
          <w:color w:val="000000"/>
        </w:rPr>
      </w:pPr>
      <w:r w:rsidRPr="003A2522">
        <w:rPr>
          <w:color w:val="000000"/>
        </w:rPr>
        <w:t xml:space="preserve">Table 1: </w:t>
      </w:r>
      <w:r w:rsidR="007F3304" w:rsidRPr="003A2522">
        <w:rPr>
          <w:color w:val="000000"/>
        </w:rPr>
        <w:t xml:space="preserve"> </w:t>
      </w:r>
      <w:r w:rsidR="00E61157" w:rsidRPr="003A2522">
        <w:rPr>
          <w:color w:val="000000"/>
        </w:rPr>
        <w:t>7</w:t>
      </w:r>
      <w:r w:rsidR="00E61157" w:rsidRPr="003A2522">
        <w:rPr>
          <w:color w:val="000000"/>
          <w:vertAlign w:val="superscript"/>
        </w:rPr>
        <w:t>th</w:t>
      </w:r>
      <w:r w:rsidR="00E61157" w:rsidRPr="003A2522">
        <w:rPr>
          <w:color w:val="000000"/>
        </w:rPr>
        <w:t xml:space="preserve"> Grade Scales’ Intraclass Reliability</w:t>
      </w:r>
      <w:r w:rsidR="00E606A8" w:rsidRPr="003A2522">
        <w:rPr>
          <w:color w:val="000000"/>
        </w:rPr>
        <w:tab/>
      </w:r>
      <w:r w:rsidR="00B84514" w:rsidRPr="003A2522">
        <w:rPr>
          <w:color w:val="000000"/>
        </w:rPr>
        <w:t>5</w:t>
      </w:r>
    </w:p>
    <w:p w14:paraId="4A264FE6" w14:textId="66D074F7" w:rsidR="003D244A" w:rsidRPr="003A2522" w:rsidRDefault="003D244A" w:rsidP="00305E1F">
      <w:pPr>
        <w:tabs>
          <w:tab w:val="left" w:pos="720"/>
          <w:tab w:val="left" w:pos="1440"/>
          <w:tab w:val="left" w:pos="1800"/>
          <w:tab w:val="left" w:pos="8640"/>
        </w:tabs>
        <w:autoSpaceDE w:val="0"/>
        <w:autoSpaceDN w:val="0"/>
        <w:adjustRightInd w:val="0"/>
        <w:jc w:val="both"/>
        <w:rPr>
          <w:color w:val="000000"/>
        </w:rPr>
      </w:pPr>
      <w:r w:rsidRPr="003A2522">
        <w:rPr>
          <w:color w:val="000000"/>
        </w:rPr>
        <w:t>Table 2</w:t>
      </w:r>
      <w:r w:rsidR="00192D72" w:rsidRPr="003A2522">
        <w:rPr>
          <w:color w:val="000000"/>
        </w:rPr>
        <w:t>a</w:t>
      </w:r>
      <w:r w:rsidRPr="003A2522">
        <w:rPr>
          <w:color w:val="000000"/>
        </w:rPr>
        <w:t xml:space="preserve">: </w:t>
      </w:r>
      <w:r w:rsidR="007F3304" w:rsidRPr="003A2522">
        <w:rPr>
          <w:color w:val="000000"/>
        </w:rPr>
        <w:t xml:space="preserve"> </w:t>
      </w:r>
      <w:r w:rsidR="00E61157" w:rsidRPr="003A2522">
        <w:rPr>
          <w:color w:val="000000"/>
        </w:rPr>
        <w:t>7</w:t>
      </w:r>
      <w:r w:rsidR="00E61157" w:rsidRPr="003A2522">
        <w:rPr>
          <w:color w:val="000000"/>
          <w:vertAlign w:val="superscript"/>
        </w:rPr>
        <w:t>th</w:t>
      </w:r>
      <w:r w:rsidR="00E61157" w:rsidRPr="003A2522">
        <w:rPr>
          <w:color w:val="000000"/>
        </w:rPr>
        <w:t xml:space="preserve"> Grade Participating Study Classrooms</w:t>
      </w:r>
      <w:r w:rsidR="00E606A8" w:rsidRPr="003A2522">
        <w:rPr>
          <w:color w:val="000000"/>
        </w:rPr>
        <w:tab/>
      </w:r>
      <w:r w:rsidR="00B84514" w:rsidRPr="003A2522">
        <w:rPr>
          <w:color w:val="000000"/>
        </w:rPr>
        <w:t>8</w:t>
      </w:r>
    </w:p>
    <w:p w14:paraId="66242349" w14:textId="20EACC1D" w:rsidR="00192D72" w:rsidRPr="003A2522" w:rsidRDefault="00192D72" w:rsidP="00305E1F">
      <w:pPr>
        <w:tabs>
          <w:tab w:val="left" w:pos="720"/>
          <w:tab w:val="left" w:pos="1440"/>
          <w:tab w:val="left" w:pos="1800"/>
          <w:tab w:val="left" w:pos="8640"/>
        </w:tabs>
        <w:autoSpaceDE w:val="0"/>
        <w:autoSpaceDN w:val="0"/>
        <w:adjustRightInd w:val="0"/>
        <w:jc w:val="both"/>
        <w:rPr>
          <w:color w:val="000000"/>
        </w:rPr>
      </w:pPr>
      <w:r w:rsidRPr="003A2522">
        <w:rPr>
          <w:color w:val="000000"/>
        </w:rPr>
        <w:t xml:space="preserve">Table 2b:  </w:t>
      </w:r>
      <w:r w:rsidR="009B2E68">
        <w:rPr>
          <w:color w:val="000000"/>
        </w:rPr>
        <w:t>8</w:t>
      </w:r>
      <w:r w:rsidR="00ED34D5" w:rsidRPr="003A2522">
        <w:rPr>
          <w:color w:val="000000"/>
          <w:vertAlign w:val="superscript"/>
        </w:rPr>
        <w:t>th</w:t>
      </w:r>
      <w:r w:rsidR="00ED34D5" w:rsidRPr="003A2522">
        <w:rPr>
          <w:color w:val="000000"/>
        </w:rPr>
        <w:t xml:space="preserve"> Grade Participating Study Classrooms</w:t>
      </w:r>
      <w:r w:rsidR="00ED34D5" w:rsidRPr="003A2522">
        <w:rPr>
          <w:color w:val="000000"/>
        </w:rPr>
        <w:tab/>
        <w:t>9</w:t>
      </w:r>
    </w:p>
    <w:p w14:paraId="3AD40212" w14:textId="1B90CD94" w:rsidR="003D244A" w:rsidRPr="003A2522" w:rsidRDefault="003D244A" w:rsidP="00305E1F">
      <w:pPr>
        <w:tabs>
          <w:tab w:val="left" w:pos="720"/>
          <w:tab w:val="left" w:pos="1440"/>
          <w:tab w:val="left" w:pos="1800"/>
          <w:tab w:val="left" w:pos="8640"/>
        </w:tabs>
        <w:autoSpaceDE w:val="0"/>
        <w:autoSpaceDN w:val="0"/>
        <w:adjustRightInd w:val="0"/>
        <w:jc w:val="both"/>
        <w:rPr>
          <w:color w:val="000000"/>
        </w:rPr>
      </w:pPr>
      <w:r w:rsidRPr="003A2522">
        <w:rPr>
          <w:color w:val="000000"/>
        </w:rPr>
        <w:t xml:space="preserve">Table 3: </w:t>
      </w:r>
      <w:r w:rsidR="007F3304" w:rsidRPr="003A2522">
        <w:rPr>
          <w:color w:val="000000"/>
        </w:rPr>
        <w:t xml:space="preserve"> </w:t>
      </w:r>
      <w:r w:rsidR="00ED34D5" w:rsidRPr="003A2522">
        <w:t>2013-14 and 2014-15 iLit Program Component Usage</w:t>
      </w:r>
      <w:r w:rsidR="00E606A8" w:rsidRPr="003A2522">
        <w:tab/>
      </w:r>
      <w:r w:rsidR="00192D72" w:rsidRPr="003A2522">
        <w:rPr>
          <w:color w:val="000000"/>
        </w:rPr>
        <w:t>12</w:t>
      </w:r>
    </w:p>
    <w:p w14:paraId="72604C5F" w14:textId="6AA54754" w:rsidR="00996DF3" w:rsidRPr="003A2522" w:rsidRDefault="00E838C8" w:rsidP="00305E1F">
      <w:pPr>
        <w:tabs>
          <w:tab w:val="left" w:pos="720"/>
          <w:tab w:val="left" w:pos="1440"/>
          <w:tab w:val="left" w:pos="1800"/>
          <w:tab w:val="left" w:pos="8640"/>
        </w:tabs>
        <w:autoSpaceDE w:val="0"/>
        <w:autoSpaceDN w:val="0"/>
        <w:adjustRightInd w:val="0"/>
        <w:jc w:val="both"/>
        <w:rPr>
          <w:color w:val="000000"/>
        </w:rPr>
      </w:pPr>
      <w:r w:rsidRPr="003A2522">
        <w:rPr>
          <w:color w:val="000000"/>
        </w:rPr>
        <w:t>Table 4</w:t>
      </w:r>
      <w:r w:rsidR="00996DF3" w:rsidRPr="003A2522">
        <w:rPr>
          <w:color w:val="000000"/>
        </w:rPr>
        <w:t xml:space="preserve">: </w:t>
      </w:r>
      <w:r w:rsidR="007F3304" w:rsidRPr="003A2522">
        <w:rPr>
          <w:color w:val="000000"/>
        </w:rPr>
        <w:t xml:space="preserve"> </w:t>
      </w:r>
      <w:r w:rsidR="00ED34D5" w:rsidRPr="003A2522">
        <w:rPr>
          <w:color w:val="000000"/>
        </w:rPr>
        <w:t xml:space="preserve">iLit </w:t>
      </w:r>
      <w:r w:rsidR="009B2E68">
        <w:rPr>
          <w:color w:val="000000"/>
        </w:rPr>
        <w:t xml:space="preserve">RCT </w:t>
      </w:r>
      <w:r w:rsidR="00ED34D5" w:rsidRPr="003A2522">
        <w:rPr>
          <w:color w:val="000000"/>
        </w:rPr>
        <w:t>Sample Demographic Information</w:t>
      </w:r>
      <w:r w:rsidR="00E606A8" w:rsidRPr="003A2522">
        <w:rPr>
          <w:color w:val="000000"/>
        </w:rPr>
        <w:tab/>
      </w:r>
      <w:r w:rsidR="008660D6" w:rsidRPr="003A2522">
        <w:rPr>
          <w:color w:val="000000"/>
        </w:rPr>
        <w:t>1</w:t>
      </w:r>
      <w:r w:rsidR="00192D72" w:rsidRPr="003A2522">
        <w:rPr>
          <w:color w:val="000000"/>
        </w:rPr>
        <w:t>5</w:t>
      </w:r>
    </w:p>
    <w:p w14:paraId="2372167B" w14:textId="350E8916" w:rsidR="003A2522" w:rsidRPr="003A2522" w:rsidRDefault="003A2522" w:rsidP="00305E1F">
      <w:pPr>
        <w:tabs>
          <w:tab w:val="left" w:pos="720"/>
          <w:tab w:val="left" w:pos="1440"/>
          <w:tab w:val="left" w:pos="1800"/>
          <w:tab w:val="left" w:pos="8640"/>
        </w:tabs>
        <w:autoSpaceDE w:val="0"/>
        <w:autoSpaceDN w:val="0"/>
        <w:adjustRightInd w:val="0"/>
        <w:jc w:val="both"/>
        <w:rPr>
          <w:color w:val="000000"/>
        </w:rPr>
      </w:pPr>
      <w:r w:rsidRPr="003A2522">
        <w:rPr>
          <w:color w:val="000000"/>
        </w:rPr>
        <w:t>Table 5: 2013 Baseline Study Group Scores</w:t>
      </w:r>
      <w:r w:rsidRPr="003A2522">
        <w:rPr>
          <w:color w:val="000000"/>
        </w:rPr>
        <w:tab/>
        <w:t>1</w:t>
      </w:r>
      <w:r w:rsidR="001441CA">
        <w:rPr>
          <w:color w:val="000000"/>
        </w:rPr>
        <w:t>9</w:t>
      </w:r>
    </w:p>
    <w:p w14:paraId="14C18371" w14:textId="041FE350" w:rsidR="00996DF3" w:rsidRPr="003A2522" w:rsidRDefault="00267E95" w:rsidP="00305E1F">
      <w:pPr>
        <w:tabs>
          <w:tab w:val="left" w:pos="720"/>
          <w:tab w:val="left" w:pos="1440"/>
          <w:tab w:val="left" w:pos="1800"/>
          <w:tab w:val="left" w:pos="8640"/>
        </w:tabs>
        <w:autoSpaceDE w:val="0"/>
        <w:autoSpaceDN w:val="0"/>
        <w:adjustRightInd w:val="0"/>
        <w:jc w:val="both"/>
        <w:rPr>
          <w:color w:val="000000"/>
        </w:rPr>
      </w:pPr>
      <w:r w:rsidRPr="003A2522">
        <w:rPr>
          <w:color w:val="000000"/>
        </w:rPr>
        <w:t xml:space="preserve">Table </w:t>
      </w:r>
      <w:r w:rsidR="003A2522" w:rsidRPr="003A2522">
        <w:rPr>
          <w:color w:val="000000"/>
        </w:rPr>
        <w:t>6</w:t>
      </w:r>
      <w:r w:rsidR="00996DF3" w:rsidRPr="003A2522">
        <w:rPr>
          <w:color w:val="000000"/>
        </w:rPr>
        <w:t xml:space="preserve">: </w:t>
      </w:r>
      <w:r w:rsidR="007F3304" w:rsidRPr="003A2522">
        <w:rPr>
          <w:color w:val="000000"/>
        </w:rPr>
        <w:t xml:space="preserve"> </w:t>
      </w:r>
      <w:r w:rsidR="003A2522" w:rsidRPr="003A2522">
        <w:rPr>
          <w:color w:val="000000"/>
        </w:rPr>
        <w:t xml:space="preserve">2013 Baseline Study Group Score Comparisons </w:t>
      </w:r>
      <w:r w:rsidR="003A2522" w:rsidRPr="003A2522">
        <w:rPr>
          <w:color w:val="000000"/>
        </w:rPr>
        <w:tab/>
      </w:r>
      <w:r w:rsidR="001441CA">
        <w:rPr>
          <w:color w:val="000000"/>
        </w:rPr>
        <w:t>20</w:t>
      </w:r>
    </w:p>
    <w:p w14:paraId="5EDC3388" w14:textId="10C3F4CA" w:rsidR="00E838C8" w:rsidRPr="003A2522" w:rsidRDefault="00E838C8" w:rsidP="00305E1F">
      <w:pPr>
        <w:tabs>
          <w:tab w:val="left" w:pos="720"/>
          <w:tab w:val="left" w:pos="1440"/>
          <w:tab w:val="left" w:pos="1800"/>
          <w:tab w:val="left" w:pos="8640"/>
        </w:tabs>
        <w:autoSpaceDE w:val="0"/>
        <w:autoSpaceDN w:val="0"/>
        <w:adjustRightInd w:val="0"/>
        <w:jc w:val="both"/>
        <w:rPr>
          <w:color w:val="000000"/>
        </w:rPr>
      </w:pPr>
      <w:r w:rsidRPr="003A2522">
        <w:rPr>
          <w:color w:val="000000"/>
        </w:rPr>
        <w:t xml:space="preserve">Table 7: </w:t>
      </w:r>
      <w:r w:rsidR="007F3304" w:rsidRPr="003A2522">
        <w:rPr>
          <w:color w:val="000000"/>
        </w:rPr>
        <w:t xml:space="preserve"> </w:t>
      </w:r>
      <w:r w:rsidR="003A2522" w:rsidRPr="003A2522">
        <w:rPr>
          <w:color w:val="000000"/>
        </w:rPr>
        <w:t>iLit Group Gain and Effect Sizes</w:t>
      </w:r>
      <w:r w:rsidR="00E606A8" w:rsidRPr="003A2522">
        <w:rPr>
          <w:color w:val="000000"/>
        </w:rPr>
        <w:tab/>
      </w:r>
      <w:r w:rsidR="00192D72" w:rsidRPr="003A2522">
        <w:rPr>
          <w:color w:val="000000"/>
        </w:rPr>
        <w:t>2</w:t>
      </w:r>
      <w:r w:rsidR="001441CA">
        <w:rPr>
          <w:color w:val="000000"/>
        </w:rPr>
        <w:t>1</w:t>
      </w:r>
    </w:p>
    <w:p w14:paraId="40B1CC10" w14:textId="2C649022" w:rsidR="00E838C8" w:rsidRPr="003A2522" w:rsidRDefault="00E838C8" w:rsidP="00305E1F">
      <w:pPr>
        <w:tabs>
          <w:tab w:val="left" w:pos="720"/>
          <w:tab w:val="left" w:pos="1440"/>
          <w:tab w:val="left" w:pos="1800"/>
          <w:tab w:val="left" w:pos="8640"/>
        </w:tabs>
        <w:autoSpaceDE w:val="0"/>
        <w:autoSpaceDN w:val="0"/>
        <w:adjustRightInd w:val="0"/>
        <w:jc w:val="both"/>
        <w:rPr>
          <w:color w:val="000000"/>
        </w:rPr>
      </w:pPr>
      <w:r w:rsidRPr="003A2522">
        <w:rPr>
          <w:color w:val="000000"/>
        </w:rPr>
        <w:t xml:space="preserve">Table 8: </w:t>
      </w:r>
      <w:r w:rsidR="007F3304" w:rsidRPr="003A2522">
        <w:rPr>
          <w:color w:val="000000"/>
        </w:rPr>
        <w:t xml:space="preserve"> </w:t>
      </w:r>
      <w:r w:rsidR="003A2522" w:rsidRPr="003A2522">
        <w:rPr>
          <w:color w:val="000000"/>
        </w:rPr>
        <w:t>Comparative Group Effect Size Gains</w:t>
      </w:r>
      <w:r w:rsidR="00E606A8" w:rsidRPr="003A2522">
        <w:rPr>
          <w:color w:val="000000"/>
        </w:rPr>
        <w:tab/>
      </w:r>
      <w:r w:rsidR="00192D72" w:rsidRPr="003A2522">
        <w:rPr>
          <w:color w:val="000000"/>
        </w:rPr>
        <w:t>2</w:t>
      </w:r>
      <w:r w:rsidR="001441CA">
        <w:rPr>
          <w:color w:val="000000"/>
        </w:rPr>
        <w:t>2</w:t>
      </w:r>
    </w:p>
    <w:p w14:paraId="2A49728C" w14:textId="0E1C9105" w:rsidR="00E606A8" w:rsidRPr="003A2522" w:rsidRDefault="007918AE" w:rsidP="00E606A8">
      <w:pPr>
        <w:tabs>
          <w:tab w:val="left" w:pos="720"/>
          <w:tab w:val="left" w:pos="1440"/>
          <w:tab w:val="left" w:pos="1800"/>
          <w:tab w:val="left" w:pos="8640"/>
        </w:tabs>
        <w:autoSpaceDE w:val="0"/>
        <w:autoSpaceDN w:val="0"/>
        <w:adjustRightInd w:val="0"/>
        <w:rPr>
          <w:color w:val="000000"/>
        </w:rPr>
      </w:pPr>
      <w:r w:rsidRPr="00D43045">
        <w:rPr>
          <w:color w:val="000000"/>
        </w:rPr>
        <w:t>Table 9</w:t>
      </w:r>
      <w:r w:rsidR="0038175D" w:rsidRPr="00D43045">
        <w:rPr>
          <w:color w:val="000000"/>
        </w:rPr>
        <w:t xml:space="preserve">: </w:t>
      </w:r>
      <w:r w:rsidR="007F3304" w:rsidRPr="00D43045">
        <w:rPr>
          <w:color w:val="000000"/>
        </w:rPr>
        <w:t xml:space="preserve"> </w:t>
      </w:r>
      <w:r w:rsidR="0047062E" w:rsidRPr="00D43045">
        <w:rPr>
          <w:color w:val="000000"/>
        </w:rPr>
        <w:t xml:space="preserve">2013-14 </w:t>
      </w:r>
      <w:r w:rsidR="00D43045" w:rsidRPr="00D43045">
        <w:rPr>
          <w:color w:val="000000"/>
        </w:rPr>
        <w:t xml:space="preserve">and 2014-15 </w:t>
      </w:r>
      <w:r w:rsidR="0038175D" w:rsidRPr="00D43045">
        <w:rPr>
          <w:color w:val="000000"/>
        </w:rPr>
        <w:t>iLit Student Attitude Results</w:t>
      </w:r>
      <w:r w:rsidR="00E606A8" w:rsidRPr="00D43045">
        <w:rPr>
          <w:color w:val="000000"/>
        </w:rPr>
        <w:tab/>
      </w:r>
      <w:r w:rsidR="003A2522" w:rsidRPr="00D43045">
        <w:rPr>
          <w:color w:val="000000"/>
        </w:rPr>
        <w:t>2</w:t>
      </w:r>
      <w:r w:rsidR="001441CA">
        <w:rPr>
          <w:color w:val="000000"/>
        </w:rPr>
        <w:t>6</w:t>
      </w:r>
    </w:p>
    <w:p w14:paraId="5EBC29F1" w14:textId="77777777" w:rsidR="00E606A8" w:rsidRPr="003A2522" w:rsidRDefault="00E606A8" w:rsidP="00E606A8">
      <w:pPr>
        <w:tabs>
          <w:tab w:val="left" w:pos="720"/>
          <w:tab w:val="left" w:pos="1440"/>
          <w:tab w:val="left" w:pos="1800"/>
          <w:tab w:val="left" w:pos="8640"/>
        </w:tabs>
        <w:autoSpaceDE w:val="0"/>
        <w:autoSpaceDN w:val="0"/>
        <w:adjustRightInd w:val="0"/>
        <w:rPr>
          <w:color w:val="000000"/>
        </w:rPr>
      </w:pPr>
    </w:p>
    <w:p w14:paraId="73A1EE85" w14:textId="78F4320C" w:rsidR="00E838C8" w:rsidRPr="003A2522" w:rsidRDefault="00E838C8" w:rsidP="00E606A8">
      <w:pPr>
        <w:tabs>
          <w:tab w:val="left" w:pos="720"/>
          <w:tab w:val="left" w:pos="1440"/>
          <w:tab w:val="left" w:pos="1800"/>
          <w:tab w:val="left" w:pos="8640"/>
        </w:tabs>
        <w:autoSpaceDE w:val="0"/>
        <w:autoSpaceDN w:val="0"/>
        <w:adjustRightInd w:val="0"/>
        <w:rPr>
          <w:color w:val="000000"/>
        </w:rPr>
      </w:pPr>
      <w:r w:rsidRPr="003A2522">
        <w:rPr>
          <w:color w:val="000000"/>
        </w:rPr>
        <w:t xml:space="preserve">Figure 1: </w:t>
      </w:r>
      <w:r w:rsidR="007F3304" w:rsidRPr="003A2522">
        <w:rPr>
          <w:color w:val="000000"/>
        </w:rPr>
        <w:t xml:space="preserve"> </w:t>
      </w:r>
      <w:r w:rsidRPr="003A2522">
        <w:rPr>
          <w:color w:val="000000"/>
        </w:rPr>
        <w:t xml:space="preserve">Group Gain Comparisons for </w:t>
      </w:r>
      <w:r w:rsidR="00DD75EA" w:rsidRPr="003A2522">
        <w:rPr>
          <w:color w:val="000000"/>
        </w:rPr>
        <w:t xml:space="preserve">Literacy </w:t>
      </w:r>
      <w:r w:rsidRPr="003A2522">
        <w:rPr>
          <w:color w:val="000000"/>
        </w:rPr>
        <w:t>Achievement Outcomes</w:t>
      </w:r>
      <w:r w:rsidR="00E606A8" w:rsidRPr="003A2522">
        <w:rPr>
          <w:color w:val="000000"/>
        </w:rPr>
        <w:tab/>
      </w:r>
      <w:r w:rsidR="00192D72" w:rsidRPr="003A2522">
        <w:rPr>
          <w:color w:val="000000"/>
        </w:rPr>
        <w:t>2</w:t>
      </w:r>
      <w:r w:rsidR="001441CA">
        <w:rPr>
          <w:color w:val="000000"/>
        </w:rPr>
        <w:t>3</w:t>
      </w:r>
    </w:p>
    <w:p w14:paraId="26485AB4" w14:textId="526D93FC" w:rsidR="00E606A8" w:rsidRPr="003A2522" w:rsidRDefault="00303880" w:rsidP="00305E1F">
      <w:pPr>
        <w:tabs>
          <w:tab w:val="left" w:pos="720"/>
          <w:tab w:val="left" w:pos="1440"/>
          <w:tab w:val="left" w:pos="1800"/>
          <w:tab w:val="left" w:pos="8640"/>
        </w:tabs>
        <w:autoSpaceDE w:val="0"/>
        <w:autoSpaceDN w:val="0"/>
        <w:adjustRightInd w:val="0"/>
        <w:jc w:val="both"/>
        <w:rPr>
          <w:color w:val="000000"/>
        </w:rPr>
      </w:pPr>
      <w:r w:rsidRPr="003A2522">
        <w:rPr>
          <w:color w:val="000000"/>
        </w:rPr>
        <w:t>Figure</w:t>
      </w:r>
      <w:r w:rsidR="00E838C8" w:rsidRPr="003A2522">
        <w:rPr>
          <w:color w:val="000000"/>
        </w:rPr>
        <w:t xml:space="preserve"> 2: </w:t>
      </w:r>
      <w:r w:rsidR="007F3304" w:rsidRPr="003A2522">
        <w:rPr>
          <w:color w:val="000000"/>
        </w:rPr>
        <w:t xml:space="preserve"> </w:t>
      </w:r>
      <w:r w:rsidRPr="003A2522">
        <w:rPr>
          <w:color w:val="000000"/>
        </w:rPr>
        <w:t>Group Gain Comparisons for Literacy Academic Attitude</w:t>
      </w:r>
      <w:r w:rsidR="00E606A8" w:rsidRPr="003A2522">
        <w:rPr>
          <w:color w:val="000000"/>
        </w:rPr>
        <w:tab/>
      </w:r>
      <w:r w:rsidR="00192D72" w:rsidRPr="003A2522">
        <w:rPr>
          <w:color w:val="000000"/>
        </w:rPr>
        <w:t>2</w:t>
      </w:r>
      <w:r w:rsidR="001441CA">
        <w:rPr>
          <w:color w:val="000000"/>
        </w:rPr>
        <w:t>5</w:t>
      </w:r>
    </w:p>
    <w:p w14:paraId="40CC84EE" w14:textId="77777777" w:rsidR="00E606A8" w:rsidRPr="006F74F1" w:rsidRDefault="00E606A8" w:rsidP="00E606A8">
      <w:pPr>
        <w:tabs>
          <w:tab w:val="left" w:pos="720"/>
          <w:tab w:val="left" w:pos="1440"/>
          <w:tab w:val="left" w:pos="1800"/>
          <w:tab w:val="left" w:pos="8640"/>
        </w:tabs>
        <w:autoSpaceDE w:val="0"/>
        <w:autoSpaceDN w:val="0"/>
        <w:adjustRightInd w:val="0"/>
        <w:jc w:val="both"/>
        <w:rPr>
          <w:color w:val="000000"/>
        </w:rPr>
      </w:pPr>
    </w:p>
    <w:p w14:paraId="01147AA0" w14:textId="77777777" w:rsidR="003D244A" w:rsidRDefault="003D244A" w:rsidP="00F128D3">
      <w:pPr>
        <w:autoSpaceDE w:val="0"/>
        <w:autoSpaceDN w:val="0"/>
        <w:adjustRightInd w:val="0"/>
        <w:rPr>
          <w:color w:val="000000"/>
          <w:sz w:val="16"/>
          <w:szCs w:val="16"/>
        </w:rPr>
      </w:pPr>
      <w:r w:rsidRPr="009C76B3">
        <w:rPr>
          <w:color w:val="000000"/>
          <w:sz w:val="16"/>
          <w:szCs w:val="16"/>
        </w:rPr>
        <w:tab/>
      </w:r>
      <w:r w:rsidRPr="009C76B3">
        <w:rPr>
          <w:color w:val="000000"/>
          <w:sz w:val="16"/>
          <w:szCs w:val="16"/>
        </w:rPr>
        <w:tab/>
      </w:r>
      <w:r w:rsidRPr="009C76B3">
        <w:rPr>
          <w:color w:val="000000"/>
          <w:sz w:val="16"/>
          <w:szCs w:val="16"/>
        </w:rPr>
        <w:tab/>
      </w:r>
      <w:r w:rsidRPr="009C76B3">
        <w:rPr>
          <w:color w:val="000000"/>
          <w:sz w:val="16"/>
          <w:szCs w:val="16"/>
        </w:rPr>
        <w:tab/>
      </w:r>
      <w:r w:rsidRPr="009C76B3">
        <w:rPr>
          <w:color w:val="000000"/>
          <w:sz w:val="16"/>
          <w:szCs w:val="16"/>
        </w:rPr>
        <w:tab/>
      </w:r>
      <w:r w:rsidRPr="009C76B3">
        <w:rPr>
          <w:color w:val="000000"/>
          <w:sz w:val="16"/>
          <w:szCs w:val="16"/>
        </w:rPr>
        <w:tab/>
      </w:r>
      <w:r w:rsidRPr="009C76B3">
        <w:rPr>
          <w:color w:val="000000"/>
          <w:sz w:val="16"/>
          <w:szCs w:val="16"/>
        </w:rPr>
        <w:tab/>
      </w:r>
      <w:r w:rsidRPr="009C76B3">
        <w:rPr>
          <w:color w:val="000000"/>
          <w:sz w:val="16"/>
          <w:szCs w:val="16"/>
        </w:rPr>
        <w:tab/>
      </w:r>
    </w:p>
    <w:p w14:paraId="09B10FA4" w14:textId="77777777" w:rsidR="003D244A" w:rsidRPr="007F2468" w:rsidRDefault="003D244A" w:rsidP="00D80928">
      <w:pPr>
        <w:autoSpaceDE w:val="0"/>
        <w:autoSpaceDN w:val="0"/>
        <w:adjustRightInd w:val="0"/>
        <w:rPr>
          <w:b/>
          <w:color w:val="FFFF99"/>
          <w:sz w:val="8"/>
          <w:szCs w:val="8"/>
          <w:highlight w:val="darkBlue"/>
        </w:rPr>
      </w:pP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p>
    <w:p w14:paraId="68B1ACF1" w14:textId="77777777" w:rsidR="0068733E" w:rsidRDefault="0068733E">
      <w:pPr>
        <w:rPr>
          <w:b/>
          <w:color w:val="FFFF99"/>
          <w:sz w:val="8"/>
          <w:szCs w:val="8"/>
          <w:highlight w:val="darkBlue"/>
        </w:rPr>
      </w:pPr>
      <w:r>
        <w:rPr>
          <w:b/>
          <w:color w:val="FFFF99"/>
          <w:sz w:val="8"/>
          <w:szCs w:val="8"/>
          <w:highlight w:val="darkBlue"/>
        </w:rPr>
        <w:br w:type="page"/>
      </w:r>
    </w:p>
    <w:p w14:paraId="03447EE5" w14:textId="77777777" w:rsidR="003D244A" w:rsidRDefault="003D244A" w:rsidP="002340EC">
      <w:pPr>
        <w:autoSpaceDE w:val="0"/>
        <w:autoSpaceDN w:val="0"/>
        <w:adjustRightInd w:val="0"/>
        <w:rPr>
          <w:b/>
          <w:color w:val="FFFF99"/>
          <w:sz w:val="8"/>
          <w:szCs w:val="8"/>
          <w:highlight w:val="darkBlue"/>
        </w:rPr>
        <w:sectPr w:rsidR="003D244A" w:rsidSect="0068733E">
          <w:headerReference w:type="default" r:id="rId9"/>
          <w:footerReference w:type="even" r:id="rId10"/>
          <w:footerReference w:type="default" r:id="rId11"/>
          <w:pgSz w:w="12240" w:h="15840" w:code="1"/>
          <w:pgMar w:top="1267" w:right="1440" w:bottom="547" w:left="1440" w:header="720" w:footer="720" w:gutter="0"/>
          <w:pgNumType w:start="1"/>
          <w:cols w:space="720"/>
          <w:noEndnote/>
          <w:docGrid w:linePitch="326"/>
        </w:sectPr>
      </w:pPr>
    </w:p>
    <w:p w14:paraId="75C4D12F" w14:textId="77777777" w:rsidR="004E373E" w:rsidRDefault="004E373E" w:rsidP="002340EC">
      <w:pPr>
        <w:autoSpaceDE w:val="0"/>
        <w:autoSpaceDN w:val="0"/>
        <w:adjustRightInd w:val="0"/>
        <w:rPr>
          <w:b/>
          <w:color w:val="FFFF99"/>
          <w:sz w:val="8"/>
          <w:szCs w:val="8"/>
          <w:highlight w:val="darkBlue"/>
        </w:rPr>
        <w:sectPr w:rsidR="004E373E" w:rsidSect="004E373E">
          <w:footerReference w:type="default" r:id="rId12"/>
          <w:footerReference w:type="first" r:id="rId13"/>
          <w:pgSz w:w="12240" w:h="15840" w:code="1"/>
          <w:pgMar w:top="1267" w:right="1440" w:bottom="547" w:left="1440" w:header="720" w:footer="720" w:gutter="0"/>
          <w:pgNumType w:fmt="lowerRoman" w:start="1"/>
          <w:cols w:space="720"/>
          <w:noEndnote/>
          <w:docGrid w:linePitch="326"/>
        </w:sectPr>
      </w:pPr>
    </w:p>
    <w:p w14:paraId="1A99E88C" w14:textId="77777777" w:rsidR="003D244A" w:rsidRPr="007F2468" w:rsidRDefault="003D244A" w:rsidP="002340EC">
      <w:pPr>
        <w:autoSpaceDE w:val="0"/>
        <w:autoSpaceDN w:val="0"/>
        <w:adjustRightInd w:val="0"/>
        <w:rPr>
          <w:b/>
          <w:color w:val="FFFF99"/>
          <w:sz w:val="8"/>
          <w:szCs w:val="8"/>
          <w:highlight w:val="darkBlue"/>
        </w:rPr>
      </w:pPr>
      <w:r w:rsidRPr="007F2468">
        <w:rPr>
          <w:b/>
          <w:color w:val="FFFF99"/>
          <w:sz w:val="8"/>
          <w:szCs w:val="8"/>
          <w:highlight w:val="darkBlue"/>
        </w:rPr>
        <w:lastRenderedPageBreak/>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p>
    <w:p w14:paraId="1D7AFFA1" w14:textId="77777777" w:rsidR="003D244A" w:rsidRPr="00651467" w:rsidRDefault="003D244A" w:rsidP="002340EC">
      <w:pPr>
        <w:rPr>
          <w:color w:val="000080"/>
          <w:sz w:val="28"/>
          <w:szCs w:val="28"/>
        </w:rPr>
      </w:pPr>
      <w:r w:rsidRPr="00651467">
        <w:rPr>
          <w:b/>
          <w:color w:val="000080"/>
          <w:sz w:val="28"/>
          <w:szCs w:val="28"/>
        </w:rPr>
        <w:t xml:space="preserve">                                            EXECUTIVE SUMMARY</w:t>
      </w:r>
      <w:r w:rsidRPr="00651467">
        <w:rPr>
          <w:b/>
          <w:color w:val="000080"/>
          <w:sz w:val="28"/>
          <w:szCs w:val="28"/>
        </w:rPr>
        <w:tab/>
      </w:r>
      <w:r w:rsidRPr="00651467">
        <w:rPr>
          <w:b/>
          <w:color w:val="000080"/>
          <w:sz w:val="28"/>
          <w:szCs w:val="28"/>
        </w:rPr>
        <w:tab/>
      </w:r>
      <w:r w:rsidRPr="00651467">
        <w:rPr>
          <w:b/>
          <w:color w:val="000080"/>
          <w:sz w:val="28"/>
          <w:szCs w:val="28"/>
        </w:rPr>
        <w:tab/>
      </w:r>
      <w:r w:rsidRPr="00651467">
        <w:rPr>
          <w:b/>
          <w:color w:val="000080"/>
          <w:sz w:val="28"/>
          <w:szCs w:val="28"/>
        </w:rPr>
        <w:tab/>
      </w:r>
      <w:r w:rsidRPr="00651467">
        <w:rPr>
          <w:b/>
          <w:color w:val="000080"/>
          <w:sz w:val="28"/>
          <w:szCs w:val="28"/>
        </w:rPr>
        <w:tab/>
        <w:t xml:space="preserve">     </w:t>
      </w:r>
    </w:p>
    <w:p w14:paraId="12AD82E1" w14:textId="77777777" w:rsidR="003D244A" w:rsidRPr="007F2468" w:rsidRDefault="003D244A" w:rsidP="002340EC">
      <w:pPr>
        <w:autoSpaceDE w:val="0"/>
        <w:autoSpaceDN w:val="0"/>
        <w:adjustRightInd w:val="0"/>
        <w:rPr>
          <w:b/>
          <w:color w:val="FFFF99"/>
          <w:sz w:val="8"/>
          <w:szCs w:val="8"/>
          <w:highlight w:val="darkBlue"/>
        </w:rPr>
      </w:pP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p>
    <w:p w14:paraId="2582BED7" w14:textId="77777777" w:rsidR="003D244A" w:rsidRPr="00CD6C1A" w:rsidRDefault="003D244A" w:rsidP="00706B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auto"/>
          <w:sz w:val="24"/>
          <w:szCs w:val="24"/>
        </w:rPr>
      </w:pPr>
      <w:r w:rsidRPr="00CD6C1A">
        <w:rPr>
          <w:color w:val="auto"/>
          <w:sz w:val="24"/>
          <w:szCs w:val="24"/>
        </w:rPr>
        <w:tab/>
      </w:r>
      <w:r w:rsidRPr="00CD6C1A">
        <w:rPr>
          <w:color w:val="auto"/>
          <w:sz w:val="24"/>
          <w:szCs w:val="24"/>
        </w:rPr>
        <w:tab/>
      </w:r>
      <w:r w:rsidRPr="00CD6C1A">
        <w:rPr>
          <w:color w:val="auto"/>
          <w:sz w:val="24"/>
          <w:szCs w:val="24"/>
        </w:rPr>
        <w:tab/>
      </w:r>
      <w:r w:rsidRPr="00CD6C1A">
        <w:rPr>
          <w:color w:val="auto"/>
          <w:sz w:val="24"/>
          <w:szCs w:val="24"/>
        </w:rPr>
        <w:tab/>
      </w:r>
      <w:r w:rsidRPr="00CD6C1A">
        <w:rPr>
          <w:color w:val="auto"/>
          <w:sz w:val="24"/>
          <w:szCs w:val="24"/>
        </w:rPr>
        <w:tab/>
      </w:r>
      <w:r w:rsidRPr="00CD6C1A">
        <w:rPr>
          <w:color w:val="auto"/>
          <w:sz w:val="24"/>
          <w:szCs w:val="24"/>
        </w:rPr>
        <w:tab/>
      </w:r>
      <w:r w:rsidRPr="00CD6C1A">
        <w:rPr>
          <w:color w:val="auto"/>
          <w:sz w:val="24"/>
          <w:szCs w:val="24"/>
        </w:rPr>
        <w:tab/>
      </w:r>
      <w:r w:rsidRPr="00CD6C1A">
        <w:rPr>
          <w:color w:val="auto"/>
          <w:sz w:val="24"/>
          <w:szCs w:val="24"/>
        </w:rPr>
        <w:tab/>
      </w:r>
      <w:r w:rsidRPr="00CD6C1A">
        <w:rPr>
          <w:color w:val="auto"/>
          <w:sz w:val="24"/>
          <w:szCs w:val="24"/>
        </w:rPr>
        <w:tab/>
      </w:r>
      <w:r w:rsidRPr="00CD6C1A">
        <w:rPr>
          <w:color w:val="auto"/>
          <w:sz w:val="24"/>
          <w:szCs w:val="24"/>
        </w:rPr>
        <w:tab/>
      </w:r>
      <w:r w:rsidRPr="00CD6C1A">
        <w:rPr>
          <w:color w:val="auto"/>
          <w:sz w:val="24"/>
          <w:szCs w:val="24"/>
        </w:rPr>
        <w:tab/>
      </w:r>
      <w:r w:rsidRPr="00CD6C1A">
        <w:rPr>
          <w:color w:val="auto"/>
          <w:sz w:val="24"/>
          <w:szCs w:val="24"/>
        </w:rPr>
        <w:tab/>
      </w:r>
      <w:r w:rsidRPr="00CD6C1A">
        <w:rPr>
          <w:color w:val="auto"/>
          <w:sz w:val="24"/>
          <w:szCs w:val="24"/>
        </w:rPr>
        <w:tab/>
      </w:r>
    </w:p>
    <w:p w14:paraId="78AAC6A9" w14:textId="77777777" w:rsidR="00F963F2" w:rsidRPr="00981BE5" w:rsidRDefault="00F963F2" w:rsidP="00F963F2">
      <w:pPr>
        <w:jc w:val="both"/>
        <w:rPr>
          <w:b/>
          <w:i/>
          <w:color w:val="000080"/>
          <w:sz w:val="28"/>
          <w:szCs w:val="28"/>
        </w:rPr>
      </w:pPr>
      <w:r w:rsidRPr="00981BE5">
        <w:rPr>
          <w:b/>
          <w:i/>
          <w:color w:val="000080"/>
          <w:sz w:val="28"/>
          <w:szCs w:val="28"/>
        </w:rPr>
        <w:t xml:space="preserve">Pearson partnered with Gatti Evaluation to study the efficacy of the iLit program in a longitudinal study during the 2013-14 and 2014-15 school years.  </w:t>
      </w:r>
    </w:p>
    <w:p w14:paraId="4A94480A" w14:textId="77777777" w:rsidR="00F963F2" w:rsidRPr="00981BE5" w:rsidRDefault="00F963F2" w:rsidP="00F963F2">
      <w:pPr>
        <w:rPr>
          <w:color w:val="000000"/>
        </w:rPr>
      </w:pPr>
    </w:p>
    <w:p w14:paraId="359C9135" w14:textId="77777777" w:rsidR="00F963F2" w:rsidRPr="00981BE5" w:rsidRDefault="00F963F2" w:rsidP="00F963F2">
      <w:pPr>
        <w:jc w:val="both"/>
        <w:rPr>
          <w:rStyle w:val="Strong"/>
          <w:b w:val="0"/>
          <w:bCs w:val="0"/>
          <w:color w:val="000000"/>
        </w:rPr>
      </w:pPr>
      <w:r w:rsidRPr="00981BE5">
        <w:t>S</w:t>
      </w:r>
      <w:r w:rsidRPr="00981BE5">
        <w:rPr>
          <w:color w:val="000000"/>
        </w:rPr>
        <w:t xml:space="preserve">chools are preparing for their first school year testing Common Core State Standards (CCSS), while still striving to meet adequate yearly progress goals.  Many schools are attempting to maximize their efforts by implementing Common Core aligned, technology based, core literacy programs.  </w:t>
      </w:r>
      <w:r w:rsidRPr="00981BE5">
        <w:t xml:space="preserve">In response, Pearson developed the inspireLiteracy (iLit) program.  </w:t>
      </w:r>
      <w:r w:rsidRPr="00981BE5">
        <w:rPr>
          <w:color w:val="000000"/>
        </w:rPr>
        <w:t>iLit</w:t>
      </w:r>
      <w:r w:rsidRPr="00981BE5">
        <w:rPr>
          <w:rStyle w:val="Strong"/>
          <w:b w:val="0"/>
          <w:color w:val="000000"/>
        </w:rPr>
        <w:t xml:space="preserve"> is a </w:t>
      </w:r>
      <w:r>
        <w:rPr>
          <w:color w:val="000000"/>
        </w:rPr>
        <w:t>fully digitally delivered</w:t>
      </w:r>
      <w:r w:rsidRPr="00981BE5">
        <w:rPr>
          <w:color w:val="000000"/>
        </w:rPr>
        <w:t xml:space="preserve"> Common Core aligned reading intervention designed to meet the needs of 4</w:t>
      </w:r>
      <w:r w:rsidRPr="00981BE5">
        <w:rPr>
          <w:color w:val="000000"/>
          <w:vertAlign w:val="superscript"/>
        </w:rPr>
        <w:t>th</w:t>
      </w:r>
      <w:r w:rsidRPr="00981BE5">
        <w:rPr>
          <w:color w:val="000000"/>
        </w:rPr>
        <w:t xml:space="preserve"> to 10</w:t>
      </w:r>
      <w:r w:rsidRPr="00981BE5">
        <w:rPr>
          <w:color w:val="000000"/>
          <w:vertAlign w:val="superscript"/>
        </w:rPr>
        <w:t>th</w:t>
      </w:r>
      <w:r w:rsidRPr="00981BE5">
        <w:rPr>
          <w:color w:val="000000"/>
        </w:rPr>
        <w:t xml:space="preserve"> grade students reading below grade level.</w:t>
      </w:r>
    </w:p>
    <w:p w14:paraId="527B7578" w14:textId="77777777" w:rsidR="00F963F2" w:rsidRPr="00981BE5" w:rsidRDefault="00F963F2" w:rsidP="00F963F2">
      <w:pPr>
        <w:pStyle w:val="Title"/>
        <w:jc w:val="both"/>
        <w:rPr>
          <w:sz w:val="24"/>
        </w:rPr>
      </w:pPr>
    </w:p>
    <w:p w14:paraId="655666EA" w14:textId="77777777" w:rsidR="00F963F2" w:rsidRPr="00E351E7" w:rsidRDefault="00F963F2" w:rsidP="00F963F2">
      <w:pPr>
        <w:pStyle w:val="Title"/>
        <w:jc w:val="both"/>
        <w:rPr>
          <w:sz w:val="24"/>
        </w:rPr>
      </w:pPr>
      <w:r w:rsidRPr="00E351E7">
        <w:rPr>
          <w:color w:val="000000"/>
          <w:sz w:val="24"/>
        </w:rPr>
        <w:t>Gatti Evaluation has partnered with Pearson to</w:t>
      </w:r>
      <w:r w:rsidRPr="00E351E7">
        <w:rPr>
          <w:sz w:val="24"/>
        </w:rPr>
        <w:t xml:space="preserve"> conduct an independent two school year longitudinal (i.e., 2013-14 7</w:t>
      </w:r>
      <w:r w:rsidRPr="00E351E7">
        <w:rPr>
          <w:sz w:val="24"/>
          <w:vertAlign w:val="superscript"/>
        </w:rPr>
        <w:t>th</w:t>
      </w:r>
      <w:r w:rsidRPr="00E351E7">
        <w:rPr>
          <w:sz w:val="24"/>
        </w:rPr>
        <w:t xml:space="preserve"> </w:t>
      </w:r>
      <w:r w:rsidRPr="00E351E7">
        <w:rPr>
          <w:sz w:val="24"/>
        </w:rPr>
        <w:sym w:font="Wingdings" w:char="F0E0"/>
      </w:r>
      <w:r w:rsidRPr="00E351E7">
        <w:rPr>
          <w:sz w:val="24"/>
        </w:rPr>
        <w:t xml:space="preserve"> 2014-15 8</w:t>
      </w:r>
      <w:r w:rsidRPr="00E351E7">
        <w:rPr>
          <w:sz w:val="24"/>
          <w:vertAlign w:val="superscript"/>
        </w:rPr>
        <w:t>th</w:t>
      </w:r>
      <w:r w:rsidRPr="00E351E7">
        <w:rPr>
          <w:sz w:val="24"/>
        </w:rPr>
        <w:t xml:space="preserve">) randomized control trial of the iLit program. </w:t>
      </w:r>
      <w:r w:rsidRPr="00E351E7">
        <w:rPr>
          <w:color w:val="000000"/>
          <w:sz w:val="24"/>
        </w:rPr>
        <w:t xml:space="preserve">The </w:t>
      </w:r>
      <w:r>
        <w:rPr>
          <w:color w:val="000000"/>
          <w:sz w:val="24"/>
        </w:rPr>
        <w:t>study</w:t>
      </w:r>
      <w:r w:rsidRPr="00E351E7">
        <w:rPr>
          <w:color w:val="000000"/>
          <w:sz w:val="24"/>
        </w:rPr>
        <w:t xml:space="preserve"> assess</w:t>
      </w:r>
      <w:r>
        <w:rPr>
          <w:color w:val="000000"/>
          <w:sz w:val="24"/>
        </w:rPr>
        <w:t>ed</w:t>
      </w:r>
      <w:r w:rsidRPr="00E351E7">
        <w:rPr>
          <w:color w:val="000000"/>
          <w:sz w:val="24"/>
        </w:rPr>
        <w:t xml:space="preserve"> the </w:t>
      </w:r>
      <w:r w:rsidRPr="00E351E7">
        <w:rPr>
          <w:sz w:val="24"/>
        </w:rPr>
        <w:t xml:space="preserve">effectiveness of the iLit program in increasing students’ achievement and attitudes in both the initial year of implementation and the consecutive school year.  Further, iLit will have its effectiveness tested against a comparison group of similar students in classrooms that did not switch curricula.  These teachers continued to utilize district adopted programs and teachers’ preferred materials and methods.  </w:t>
      </w:r>
    </w:p>
    <w:p w14:paraId="3EB7158B" w14:textId="77777777" w:rsidR="00F963F2" w:rsidRDefault="00F963F2" w:rsidP="00F963F2">
      <w:pPr>
        <w:pStyle w:val="Title"/>
        <w:jc w:val="both"/>
        <w:rPr>
          <w:sz w:val="24"/>
        </w:rPr>
      </w:pPr>
    </w:p>
    <w:p w14:paraId="10C25CFA" w14:textId="77777777" w:rsidR="00F963F2" w:rsidRPr="00054DE8" w:rsidRDefault="00F963F2" w:rsidP="00F963F2">
      <w:pPr>
        <w:jc w:val="both"/>
        <w:rPr>
          <w:b/>
          <w:i/>
          <w:color w:val="000080"/>
          <w:sz w:val="28"/>
          <w:szCs w:val="28"/>
        </w:rPr>
      </w:pPr>
      <w:r w:rsidRPr="00054DE8">
        <w:rPr>
          <w:b/>
          <w:i/>
          <w:color w:val="000080"/>
          <w:sz w:val="28"/>
          <w:szCs w:val="28"/>
        </w:rPr>
        <w:t>The study sample consisted of 283 below-grade-level 7</w:t>
      </w:r>
      <w:r w:rsidRPr="00054DE8">
        <w:rPr>
          <w:b/>
          <w:i/>
          <w:color w:val="000080"/>
          <w:sz w:val="28"/>
          <w:szCs w:val="28"/>
          <w:vertAlign w:val="superscript"/>
        </w:rPr>
        <w:t>th</w:t>
      </w:r>
      <w:r w:rsidRPr="00054DE8">
        <w:rPr>
          <w:b/>
          <w:i/>
          <w:color w:val="000080"/>
          <w:sz w:val="28"/>
          <w:szCs w:val="28"/>
        </w:rPr>
        <w:t xml:space="preserve"> grade students from six schools, each in a different state, located in five different regions of the US.</w:t>
      </w:r>
      <w:r w:rsidRPr="00054DE8">
        <w:rPr>
          <w:b/>
          <w:i/>
          <w:color w:val="000080"/>
          <w:sz w:val="28"/>
          <w:szCs w:val="28"/>
        </w:rPr>
        <w:tab/>
      </w:r>
    </w:p>
    <w:p w14:paraId="0B759061" w14:textId="77777777" w:rsidR="00F963F2" w:rsidRDefault="00F963F2" w:rsidP="00F963F2">
      <w:pPr>
        <w:pStyle w:val="Title"/>
        <w:jc w:val="both"/>
        <w:rPr>
          <w:sz w:val="24"/>
        </w:rPr>
      </w:pPr>
    </w:p>
    <w:p w14:paraId="38309D80" w14:textId="77777777" w:rsidR="00F963F2" w:rsidRPr="00EE648B" w:rsidRDefault="00F963F2" w:rsidP="00F963F2">
      <w:pPr>
        <w:pStyle w:val="Title"/>
        <w:jc w:val="both"/>
        <w:rPr>
          <w:sz w:val="24"/>
        </w:rPr>
      </w:pPr>
      <w:r>
        <w:rPr>
          <w:color w:val="000000"/>
          <w:sz w:val="24"/>
        </w:rPr>
        <w:t>The evaluation</w:t>
      </w:r>
      <w:r w:rsidRPr="00054DE8">
        <w:rPr>
          <w:color w:val="000000"/>
          <w:sz w:val="24"/>
        </w:rPr>
        <w:t xml:space="preserve"> </w:t>
      </w:r>
      <w:r>
        <w:rPr>
          <w:color w:val="000000"/>
          <w:sz w:val="24"/>
        </w:rPr>
        <w:t xml:space="preserve">began </w:t>
      </w:r>
      <w:r w:rsidRPr="00054DE8">
        <w:rPr>
          <w:color w:val="000000"/>
          <w:sz w:val="24"/>
        </w:rPr>
        <w:t>in</w:t>
      </w:r>
      <w:r w:rsidRPr="00054DE8">
        <w:rPr>
          <w:sz w:val="24"/>
        </w:rPr>
        <w:t xml:space="preserve"> 19 classrooms (i.e., </w:t>
      </w:r>
      <w:r w:rsidRPr="00054DE8">
        <w:rPr>
          <w:color w:val="000000"/>
          <w:sz w:val="24"/>
        </w:rPr>
        <w:t>iLit = 8, comparison = 11</w:t>
      </w:r>
      <w:r w:rsidRPr="00054DE8">
        <w:rPr>
          <w:sz w:val="24"/>
        </w:rPr>
        <w:t xml:space="preserve">) from six schools in six different states (AZ, CA, CO, MI, NJ, and NY).  </w:t>
      </w:r>
      <w:r>
        <w:rPr>
          <w:sz w:val="24"/>
        </w:rPr>
        <w:t>T</w:t>
      </w:r>
      <w:r w:rsidRPr="0028093B">
        <w:rPr>
          <w:sz w:val="24"/>
        </w:rPr>
        <w:t xml:space="preserve">eacher(s) at each school volunteered to use the </w:t>
      </w:r>
      <w:r w:rsidRPr="00EE648B">
        <w:rPr>
          <w:sz w:val="24"/>
        </w:rPr>
        <w:t>iLit program and each school’s below-grade-level students were individually randomly assigned to either an iLit or comparison classroom.  By the end of the second school year 70 or 24.7% (</w:t>
      </w:r>
      <w:r w:rsidRPr="00EE648B">
        <w:rPr>
          <w:color w:val="000000"/>
          <w:sz w:val="24"/>
        </w:rPr>
        <w:t>i.e., iLit = 30, comparison = 40</w:t>
      </w:r>
      <w:r w:rsidRPr="00EE648B">
        <w:rPr>
          <w:sz w:val="24"/>
        </w:rPr>
        <w:t>) of the original study students either withdrew from school (i.e., 49) or exited the study (i.e., 21).</w:t>
      </w:r>
      <w:r>
        <w:rPr>
          <w:sz w:val="24"/>
        </w:rPr>
        <w:t xml:space="preserve">  Multiple imputation was used to combine the resulting group mean differences and their robust standard error.  Empirical standard errors (i.e., Sandwich estimator) where estimated that are robust to the nesting of students in classrooms and schools.  </w:t>
      </w:r>
      <w:r w:rsidRPr="00EE648B">
        <w:rPr>
          <w:sz w:val="24"/>
        </w:rPr>
        <w:t xml:space="preserve">  </w:t>
      </w:r>
    </w:p>
    <w:p w14:paraId="3C16FD2F" w14:textId="77777777" w:rsidR="00F963F2" w:rsidRPr="00054DE8" w:rsidRDefault="00F963F2" w:rsidP="00F963F2">
      <w:pPr>
        <w:jc w:val="both"/>
        <w:rPr>
          <w:color w:val="000000"/>
        </w:rPr>
      </w:pPr>
    </w:p>
    <w:p w14:paraId="58FBCB11" w14:textId="77777777" w:rsidR="00F963F2" w:rsidRPr="00DB1E53" w:rsidRDefault="00F963F2" w:rsidP="00F963F2">
      <w:pPr>
        <w:jc w:val="both"/>
      </w:pPr>
      <w:r w:rsidRPr="00DB1E53">
        <w:t>As may be expected, the final study sample was largely eligible to receive free or reduced-priced lunch (i.e., iLit</w:t>
      </w:r>
      <w:r w:rsidRPr="00DB1E53">
        <w:rPr>
          <w:color w:val="000000"/>
        </w:rPr>
        <w:t xml:space="preserve"> = 78%, comparison = 81%</w:t>
      </w:r>
      <w:r w:rsidRPr="00DB1E53">
        <w:t>), had a significant portion not English proficient (i.e., iLit</w:t>
      </w:r>
      <w:r w:rsidRPr="00DB1E53">
        <w:rPr>
          <w:color w:val="000000"/>
        </w:rPr>
        <w:t xml:space="preserve"> = 24%, comparison = 28%</w:t>
      </w:r>
      <w:r w:rsidRPr="00DB1E53">
        <w:t>), and special education students (i.e., iLit</w:t>
      </w:r>
      <w:r w:rsidRPr="00DB1E53">
        <w:rPr>
          <w:color w:val="000000"/>
        </w:rPr>
        <w:t xml:space="preserve"> = 14%, comparison = 12%</w:t>
      </w:r>
      <w:r w:rsidRPr="00DB1E53">
        <w:t xml:space="preserve">).  The sample was also mostly Hispanic (i.e., iLit </w:t>
      </w:r>
      <w:r w:rsidRPr="00DB1E53">
        <w:rPr>
          <w:color w:val="000000"/>
        </w:rPr>
        <w:t>= 55%, comparison = 61%</w:t>
      </w:r>
      <w:r w:rsidRPr="00DB1E53">
        <w:t xml:space="preserve">) and to a lesser extent Caucasian (i.e., iLit </w:t>
      </w:r>
      <w:r w:rsidRPr="00DB1E53">
        <w:rPr>
          <w:color w:val="000000"/>
        </w:rPr>
        <w:t>= 23%, comparison = 20%</w:t>
      </w:r>
      <w:r w:rsidRPr="00DB1E53">
        <w:t xml:space="preserve">) and African American (i.e., iLit </w:t>
      </w:r>
      <w:r w:rsidRPr="00DB1E53">
        <w:rPr>
          <w:color w:val="000000"/>
        </w:rPr>
        <w:t>= 19%, comparison = 15%</w:t>
      </w:r>
      <w:r w:rsidRPr="00DB1E53">
        <w:t xml:space="preserve">).  </w:t>
      </w:r>
    </w:p>
    <w:p w14:paraId="4EAA2098" w14:textId="752D04FD" w:rsidR="00F963F2" w:rsidRDefault="00F963F2" w:rsidP="00F963F2">
      <w:pPr>
        <w:pStyle w:val="Title"/>
        <w:jc w:val="both"/>
        <w:rPr>
          <w:sz w:val="24"/>
        </w:rPr>
      </w:pPr>
    </w:p>
    <w:p w14:paraId="1E5E7557" w14:textId="77777777" w:rsidR="001A1B1B" w:rsidRDefault="001A1B1B" w:rsidP="001A1B1B">
      <w:pPr>
        <w:jc w:val="both"/>
        <w:rPr>
          <w:color w:val="000000"/>
        </w:rPr>
      </w:pPr>
      <w:r>
        <w:rPr>
          <w:color w:val="000000"/>
        </w:rPr>
        <w:t>Although initially</w:t>
      </w:r>
      <w:r w:rsidRPr="00F935A2">
        <w:rPr>
          <w:color w:val="000000"/>
        </w:rPr>
        <w:t xml:space="preserve"> iLit teachers were expected to use the program about 90 minutes a day during their literacy blocks</w:t>
      </w:r>
      <w:r>
        <w:rPr>
          <w:color w:val="000000"/>
        </w:rPr>
        <w:t xml:space="preserve">, iLit </w:t>
      </w:r>
      <w:r w:rsidRPr="00E73C5B">
        <w:rPr>
          <w:color w:val="000000"/>
        </w:rPr>
        <w:t xml:space="preserve">instruction blocks </w:t>
      </w:r>
      <w:r>
        <w:rPr>
          <w:color w:val="000000"/>
        </w:rPr>
        <w:t>were</w:t>
      </w:r>
      <w:r w:rsidRPr="00E73C5B">
        <w:rPr>
          <w:color w:val="000000"/>
        </w:rPr>
        <w:t xml:space="preserve"> sho</w:t>
      </w:r>
      <w:r>
        <w:rPr>
          <w:color w:val="000000"/>
        </w:rPr>
        <w:t>rtened</w:t>
      </w:r>
      <w:r w:rsidRPr="00E73C5B">
        <w:rPr>
          <w:color w:val="000000"/>
        </w:rPr>
        <w:t xml:space="preserve"> in the second school year</w:t>
      </w:r>
      <w:r>
        <w:rPr>
          <w:color w:val="000000"/>
        </w:rPr>
        <w:t xml:space="preserve"> for various reasons</w:t>
      </w:r>
      <w:r w:rsidRPr="00E73C5B">
        <w:rPr>
          <w:color w:val="000000"/>
        </w:rPr>
        <w:t xml:space="preserve">.  </w:t>
      </w:r>
      <w:r>
        <w:rPr>
          <w:color w:val="000000"/>
        </w:rPr>
        <w:t xml:space="preserve">Teachers reported their students received an average of 97 minutes of daily literacy instruction in the initial school year and an average of 80 minutes in the second school year.  The blocks ranged from 86 to 138 minutes in 2013-14 and </w:t>
      </w:r>
      <w:r w:rsidRPr="002A7D3C">
        <w:rPr>
          <w:color w:val="000000"/>
        </w:rPr>
        <w:t xml:space="preserve">from 50 to 120 minutes </w:t>
      </w:r>
      <w:r>
        <w:rPr>
          <w:color w:val="000000"/>
        </w:rPr>
        <w:t>in 2014-15.</w:t>
      </w:r>
    </w:p>
    <w:p w14:paraId="28C845A7" w14:textId="77777777" w:rsidR="001A1B1B" w:rsidRDefault="001A1B1B" w:rsidP="001A1B1B">
      <w:pPr>
        <w:jc w:val="both"/>
        <w:rPr>
          <w:color w:val="000000"/>
        </w:rPr>
      </w:pPr>
    </w:p>
    <w:p w14:paraId="2624D03E" w14:textId="77777777" w:rsidR="001A1B1B" w:rsidRPr="00C31823" w:rsidRDefault="001A1B1B" w:rsidP="001A1B1B">
      <w:pPr>
        <w:jc w:val="both"/>
        <w:rPr>
          <w:color w:val="000000"/>
        </w:rPr>
      </w:pPr>
      <w:r>
        <w:rPr>
          <w:color w:val="000000"/>
        </w:rPr>
        <w:lastRenderedPageBreak/>
        <w:t>Teachers were able to complete an average of 62 iLit lessons in the initial school year (i.e., 50% of the available 125 iLit lessens) with individual teachers completing 46 to 89.  In the second school year t</w:t>
      </w:r>
      <w:r w:rsidRPr="00CC4505">
        <w:rPr>
          <w:color w:val="000000"/>
        </w:rPr>
        <w:t>eachers were able to complete an average of 66 iLit lessons (i.e., 53%)</w:t>
      </w:r>
      <w:r w:rsidRPr="002C2AA1">
        <w:rPr>
          <w:color w:val="000000"/>
        </w:rPr>
        <w:t xml:space="preserve"> with individual teachers completing 48 to 99.</w:t>
      </w:r>
      <w:r>
        <w:rPr>
          <w:color w:val="000000"/>
        </w:rPr>
        <w:t xml:space="preserve">  M</w:t>
      </w:r>
      <w:r w:rsidRPr="00CA3571">
        <w:rPr>
          <w:color w:val="000000"/>
        </w:rPr>
        <w:t>ost teachers regularly used the</w:t>
      </w:r>
      <w:r>
        <w:rPr>
          <w:color w:val="000000"/>
        </w:rPr>
        <w:t xml:space="preserve"> daily iLit components.  Three teachers (i.e., CO, NJ, one from NY), however, did not regularly find time or deem it necessary to include student journals and/or student conferencing.  </w:t>
      </w:r>
    </w:p>
    <w:p w14:paraId="7DC571E0" w14:textId="77777777" w:rsidR="00F963F2" w:rsidRPr="003840F7" w:rsidRDefault="00F963F2" w:rsidP="00F963F2">
      <w:pPr>
        <w:pStyle w:val="Title"/>
        <w:jc w:val="both"/>
        <w:rPr>
          <w:sz w:val="24"/>
        </w:rPr>
      </w:pPr>
    </w:p>
    <w:p w14:paraId="1AAEA6D2" w14:textId="77777777" w:rsidR="00F963F2" w:rsidRPr="003840F7" w:rsidRDefault="00F963F2" w:rsidP="00F963F2">
      <w:pPr>
        <w:jc w:val="both"/>
      </w:pPr>
      <w:r w:rsidRPr="003840F7">
        <w:rPr>
          <w:color w:val="000000"/>
        </w:rPr>
        <w:t xml:space="preserve">An assessment battery comprised of the </w:t>
      </w:r>
      <w:r w:rsidRPr="003840F7">
        <w:rPr>
          <w:i/>
          <w:color w:val="000000"/>
        </w:rPr>
        <w:t>Group Reading Assessment and Diagnostic Evaluation</w:t>
      </w:r>
      <w:r w:rsidRPr="003840F7">
        <w:rPr>
          <w:color w:val="000000"/>
        </w:rPr>
        <w:t xml:space="preserve"> (GRADE) and an academic attitude survey was used to measure gains in student achievement and literacy attitude over the course the school year.  In addition, the</w:t>
      </w:r>
      <w:r w:rsidRPr="003840F7">
        <w:t xml:space="preserve"> research team collected information on teacher and student attitudes towards iLit through teacher logs, classroom observations, teacher interviews and focus groups, as well as student surveys. </w:t>
      </w:r>
    </w:p>
    <w:p w14:paraId="7B624E2B" w14:textId="7C010E37" w:rsidR="00A0754C" w:rsidRDefault="00A0754C" w:rsidP="00F963F2">
      <w:pPr>
        <w:jc w:val="both"/>
      </w:pPr>
    </w:p>
    <w:p w14:paraId="607F257F" w14:textId="77777777" w:rsidR="00A0754C" w:rsidRDefault="00A0754C" w:rsidP="00A0754C">
      <w:pPr>
        <w:jc w:val="both"/>
        <w:rPr>
          <w:b/>
          <w:i/>
          <w:color w:val="000080"/>
          <w:sz w:val="28"/>
          <w:szCs w:val="28"/>
        </w:rPr>
      </w:pPr>
      <w:r>
        <w:rPr>
          <w:b/>
          <w:i/>
          <w:color w:val="000080"/>
          <w:sz w:val="28"/>
          <w:szCs w:val="28"/>
        </w:rPr>
        <w:t>The achievement data indicates iLit can be successful in increasing Literacy achievement for at-risk middle grade students.</w:t>
      </w:r>
    </w:p>
    <w:p w14:paraId="08CE57C6" w14:textId="77777777" w:rsidR="00A0754C" w:rsidRDefault="00A0754C" w:rsidP="00A0754C">
      <w:pPr>
        <w:jc w:val="both"/>
        <w:rPr>
          <w:color w:val="000000"/>
          <w:highlight w:val="yellow"/>
        </w:rPr>
      </w:pPr>
    </w:p>
    <w:p w14:paraId="6F0A0A36" w14:textId="77777777" w:rsidR="00A0754C" w:rsidRDefault="00A0754C" w:rsidP="00A0754C">
      <w:pPr>
        <w:jc w:val="both"/>
      </w:pPr>
      <w:r w:rsidRPr="00326C7B">
        <w:rPr>
          <w:color w:val="000000"/>
        </w:rPr>
        <w:t>Both the comparison and iLit groups performed well below average at baseline (CP PR=24</w:t>
      </w:r>
      <w:r w:rsidRPr="00326C7B">
        <w:rPr>
          <w:color w:val="000000"/>
          <w:vertAlign w:val="superscript"/>
        </w:rPr>
        <w:t>th</w:t>
      </w:r>
      <w:r w:rsidRPr="00326C7B">
        <w:rPr>
          <w:color w:val="000000"/>
        </w:rPr>
        <w:t xml:space="preserve">, iLit </w:t>
      </w:r>
      <w:r w:rsidRPr="00176E05">
        <w:rPr>
          <w:color w:val="000000"/>
        </w:rPr>
        <w:t>PR=26</w:t>
      </w:r>
      <w:r w:rsidRPr="00176E05">
        <w:rPr>
          <w:color w:val="000000"/>
          <w:vertAlign w:val="superscript"/>
        </w:rPr>
        <w:t>th</w:t>
      </w:r>
      <w:r w:rsidRPr="00176E05">
        <w:rPr>
          <w:color w:val="000000"/>
        </w:rPr>
        <w:t xml:space="preserve">) on the GRADE.  </w:t>
      </w:r>
      <w:r w:rsidRPr="00176E05">
        <w:t xml:space="preserve">The achievement data, however, indicates clearly that at-risk middle grade students using iLit as their primary literacy program can be successful.  </w:t>
      </w:r>
      <w:r>
        <w:t>iLit students saw</w:t>
      </w:r>
      <w:r w:rsidRPr="00074183">
        <w:t xml:space="preserve"> consistent </w:t>
      </w:r>
      <w:r>
        <w:t xml:space="preserve">gains </w:t>
      </w:r>
      <w:r w:rsidRPr="00074183">
        <w:t>across school years and with a 10 percentile point increase for comprehension, a</w:t>
      </w:r>
      <w:r>
        <w:t xml:space="preserve"> </w:t>
      </w:r>
      <w:r w:rsidRPr="00074183">
        <w:t>16 percentile point increase for vocabulary, and a 15 percentile point gain in total achievement.  The largest gains were seen on the Listening Comprehension scale</w:t>
      </w:r>
      <w:r>
        <w:t>, 26 and 19 percentile points in 2013-14 and 2015-16 respectively</w:t>
      </w:r>
      <w:r w:rsidRPr="00074183">
        <w:t>.</w:t>
      </w:r>
      <w:r>
        <w:t xml:space="preserve">  Compared to </w:t>
      </w:r>
      <w:r w:rsidRPr="00074183">
        <w:t xml:space="preserve">achievement gains seen </w:t>
      </w:r>
      <w:r>
        <w:t xml:space="preserve">recently </w:t>
      </w:r>
      <w:r w:rsidRPr="00074183">
        <w:t>across widely used, nationally normed literacy assessments,</w:t>
      </w:r>
      <w:r>
        <w:t xml:space="preserve"> these gains </w:t>
      </w:r>
      <w:r w:rsidRPr="00074183">
        <w:t>are large in comparison</w:t>
      </w:r>
      <w:r>
        <w:t>.</w:t>
      </w:r>
    </w:p>
    <w:p w14:paraId="6F36BE2A" w14:textId="77777777" w:rsidR="00A0754C" w:rsidRDefault="00A0754C" w:rsidP="00A0754C">
      <w:pPr>
        <w:jc w:val="both"/>
      </w:pPr>
    </w:p>
    <w:p w14:paraId="222A3789" w14:textId="77777777" w:rsidR="00A0754C" w:rsidRPr="00E92356" w:rsidRDefault="00A0754C" w:rsidP="00A0754C">
      <w:pPr>
        <w:jc w:val="both"/>
        <w:rPr>
          <w:b/>
          <w:i/>
          <w:color w:val="000080"/>
          <w:sz w:val="28"/>
          <w:szCs w:val="28"/>
        </w:rPr>
      </w:pPr>
      <w:r w:rsidRPr="00E92356">
        <w:rPr>
          <w:b/>
          <w:i/>
          <w:color w:val="000080"/>
          <w:sz w:val="28"/>
          <w:szCs w:val="28"/>
        </w:rPr>
        <w:t xml:space="preserve">Students using the iLit program had </w:t>
      </w:r>
      <w:r>
        <w:rPr>
          <w:b/>
          <w:i/>
          <w:color w:val="000080"/>
          <w:sz w:val="28"/>
          <w:szCs w:val="28"/>
        </w:rPr>
        <w:t xml:space="preserve">relatively </w:t>
      </w:r>
      <w:r w:rsidRPr="00E92356">
        <w:rPr>
          <w:b/>
          <w:i/>
          <w:color w:val="000080"/>
          <w:sz w:val="28"/>
          <w:szCs w:val="28"/>
        </w:rPr>
        <w:t xml:space="preserve">large </w:t>
      </w:r>
      <w:r>
        <w:rPr>
          <w:b/>
          <w:i/>
          <w:color w:val="000080"/>
          <w:sz w:val="28"/>
          <w:szCs w:val="28"/>
        </w:rPr>
        <w:t xml:space="preserve">statistically significant </w:t>
      </w:r>
      <w:r w:rsidRPr="00E92356">
        <w:rPr>
          <w:b/>
          <w:i/>
          <w:color w:val="000080"/>
          <w:sz w:val="28"/>
          <w:szCs w:val="28"/>
        </w:rPr>
        <w:t xml:space="preserve">achievement gains from the first school year implementing the program and continued to show large </w:t>
      </w:r>
      <w:r>
        <w:rPr>
          <w:b/>
          <w:i/>
          <w:color w:val="000080"/>
          <w:sz w:val="28"/>
          <w:szCs w:val="28"/>
        </w:rPr>
        <w:t xml:space="preserve">statistically significant </w:t>
      </w:r>
      <w:r w:rsidRPr="00E92356">
        <w:rPr>
          <w:b/>
          <w:i/>
          <w:color w:val="000080"/>
          <w:sz w:val="28"/>
          <w:szCs w:val="28"/>
        </w:rPr>
        <w:t>achievement gains into the second school year.</w:t>
      </w:r>
    </w:p>
    <w:p w14:paraId="48A15A5C" w14:textId="77777777" w:rsidR="00A0754C" w:rsidRDefault="00A0754C" w:rsidP="00A0754C">
      <w:pPr>
        <w:jc w:val="both"/>
      </w:pPr>
    </w:p>
    <w:p w14:paraId="71146239" w14:textId="77777777" w:rsidR="00A0754C" w:rsidRPr="00176E05" w:rsidRDefault="00A0754C" w:rsidP="00A0754C">
      <w:pPr>
        <w:jc w:val="both"/>
      </w:pPr>
      <w:r w:rsidRPr="00176E05">
        <w:rPr>
          <w:color w:val="000000"/>
        </w:rPr>
        <w:t>In 2013-14, performance was statistically similar between study groups on the GRADE and most of its sub-tests. The exception was</w:t>
      </w:r>
      <w:r w:rsidRPr="00176E05">
        <w:t xml:space="preserve"> Listening Comprehension, where the iLit students statistically outperformed the comparison group by 7 percentile points.  </w:t>
      </w:r>
    </w:p>
    <w:p w14:paraId="360906A4" w14:textId="77777777" w:rsidR="00A0754C" w:rsidRDefault="00A0754C" w:rsidP="00A0754C">
      <w:pPr>
        <w:jc w:val="both"/>
      </w:pPr>
    </w:p>
    <w:p w14:paraId="135084A4" w14:textId="77777777" w:rsidR="00A0754C" w:rsidRPr="00FE519B" w:rsidRDefault="00A0754C" w:rsidP="00A0754C">
      <w:pPr>
        <w:jc w:val="both"/>
        <w:rPr>
          <w:color w:val="000000"/>
        </w:rPr>
      </w:pPr>
      <w:r>
        <w:t xml:space="preserve">In the 2014-15 school year the iLit group </w:t>
      </w:r>
      <w:r w:rsidRPr="006E1D2F">
        <w:t xml:space="preserve">statistically significantly </w:t>
      </w:r>
      <w:r>
        <w:t>outperformed the comparison group in the Comprehension scale (i.e., 10 percentile points) and subsequently the Total scale (i.e., 8 percentile points).  Vocabulary performance was practically equivalent across both years and Listening Comprehension was as well in the second school ye</w:t>
      </w:r>
      <w:r>
        <w:rPr>
          <w:color w:val="000000"/>
        </w:rPr>
        <w:t xml:space="preserve">ar.  </w:t>
      </w:r>
      <w:r w:rsidRPr="00FE519B">
        <w:rPr>
          <w:color w:val="000000"/>
        </w:rPr>
        <w:t>A revie</w:t>
      </w:r>
      <w:r>
        <w:rPr>
          <w:color w:val="000000"/>
        </w:rPr>
        <w:t xml:space="preserve">w </w:t>
      </w:r>
      <w:r w:rsidRPr="00FE519B">
        <w:rPr>
          <w:color w:val="000000"/>
        </w:rPr>
        <w:t xml:space="preserve">of recent </w:t>
      </w:r>
      <w:r>
        <w:rPr>
          <w:color w:val="000000"/>
        </w:rPr>
        <w:t xml:space="preserve">RCT </w:t>
      </w:r>
      <w:r w:rsidRPr="00FE519B">
        <w:rPr>
          <w:color w:val="000000"/>
        </w:rPr>
        <w:t>research reports</w:t>
      </w:r>
      <w:r>
        <w:rPr>
          <w:color w:val="000000"/>
        </w:rPr>
        <w:t xml:space="preserve"> of </w:t>
      </w:r>
      <w:r w:rsidRPr="00F41E07">
        <w:rPr>
          <w:rFonts w:cs="Adobe Garamond Pro"/>
          <w:color w:val="000000"/>
          <w:sz w:val="23"/>
          <w:szCs w:val="23"/>
        </w:rPr>
        <w:t xml:space="preserve">low performing and at-risk </w:t>
      </w:r>
      <w:r>
        <w:rPr>
          <w:color w:val="000000"/>
        </w:rPr>
        <w:t>middle grades students saw an average comparative effect size of 6 percentile points.  The statistically significant gains seen by the iLit group are all larger than this average.</w:t>
      </w:r>
    </w:p>
    <w:p w14:paraId="12FD50DC" w14:textId="77777777" w:rsidR="00A0754C" w:rsidRDefault="00A0754C" w:rsidP="00A0754C">
      <w:pPr>
        <w:jc w:val="both"/>
        <w:rPr>
          <w:color w:val="000000"/>
        </w:rPr>
      </w:pPr>
    </w:p>
    <w:p w14:paraId="1B13D420" w14:textId="77777777" w:rsidR="00A0754C" w:rsidRPr="008147AD" w:rsidRDefault="00A0754C" w:rsidP="00A0754C">
      <w:pPr>
        <w:jc w:val="both"/>
        <w:rPr>
          <w:b/>
          <w:i/>
          <w:color w:val="000080"/>
          <w:sz w:val="28"/>
          <w:szCs w:val="28"/>
        </w:rPr>
      </w:pPr>
      <w:r w:rsidRPr="008147AD">
        <w:rPr>
          <w:b/>
          <w:i/>
          <w:color w:val="000080"/>
          <w:sz w:val="28"/>
          <w:szCs w:val="28"/>
        </w:rPr>
        <w:t>After the initial school year, iLit students performed as well as their comparison counterpart</w:t>
      </w:r>
      <w:r>
        <w:rPr>
          <w:b/>
          <w:i/>
          <w:color w:val="000080"/>
          <w:sz w:val="28"/>
          <w:szCs w:val="28"/>
        </w:rPr>
        <w:t>s</w:t>
      </w:r>
      <w:r w:rsidRPr="008147AD">
        <w:rPr>
          <w:b/>
          <w:i/>
          <w:color w:val="000080"/>
          <w:sz w:val="28"/>
          <w:szCs w:val="28"/>
        </w:rPr>
        <w:t xml:space="preserve"> on all achievement outcomes.  By the end of the second school year, the iLit students significantly outperformed their comparison counterparts </w:t>
      </w:r>
      <w:r>
        <w:rPr>
          <w:b/>
          <w:i/>
          <w:color w:val="000080"/>
          <w:sz w:val="28"/>
          <w:szCs w:val="28"/>
        </w:rPr>
        <w:t>o</w:t>
      </w:r>
      <w:r w:rsidRPr="008147AD">
        <w:rPr>
          <w:b/>
          <w:i/>
          <w:color w:val="000080"/>
          <w:sz w:val="28"/>
          <w:szCs w:val="28"/>
        </w:rPr>
        <w:t>n</w:t>
      </w:r>
      <w:r>
        <w:rPr>
          <w:b/>
          <w:i/>
          <w:color w:val="000080"/>
          <w:sz w:val="28"/>
          <w:szCs w:val="28"/>
        </w:rPr>
        <w:t xml:space="preserve"> the GRADE Total Test and</w:t>
      </w:r>
      <w:r w:rsidRPr="008147AD">
        <w:rPr>
          <w:b/>
          <w:i/>
          <w:color w:val="000080"/>
          <w:sz w:val="28"/>
          <w:szCs w:val="28"/>
        </w:rPr>
        <w:t xml:space="preserve"> </w:t>
      </w:r>
      <w:r>
        <w:rPr>
          <w:b/>
          <w:i/>
          <w:color w:val="000080"/>
          <w:sz w:val="28"/>
          <w:szCs w:val="28"/>
        </w:rPr>
        <w:t xml:space="preserve">specifically </w:t>
      </w:r>
      <w:r w:rsidRPr="008147AD">
        <w:rPr>
          <w:b/>
          <w:i/>
          <w:color w:val="000080"/>
          <w:sz w:val="28"/>
          <w:szCs w:val="28"/>
        </w:rPr>
        <w:t>Comprehension</w:t>
      </w:r>
      <w:r>
        <w:rPr>
          <w:b/>
          <w:i/>
          <w:color w:val="000080"/>
          <w:sz w:val="28"/>
          <w:szCs w:val="28"/>
        </w:rPr>
        <w:t xml:space="preserve"> scales</w:t>
      </w:r>
      <w:r w:rsidRPr="008147AD">
        <w:rPr>
          <w:b/>
          <w:i/>
          <w:color w:val="000080"/>
          <w:sz w:val="28"/>
          <w:szCs w:val="28"/>
        </w:rPr>
        <w:t>.</w:t>
      </w:r>
    </w:p>
    <w:p w14:paraId="16FF578D" w14:textId="77777777" w:rsidR="00A0754C" w:rsidRDefault="00A0754C" w:rsidP="00A0754C">
      <w:pPr>
        <w:jc w:val="both"/>
        <w:rPr>
          <w:color w:val="000000"/>
        </w:rPr>
      </w:pPr>
    </w:p>
    <w:p w14:paraId="037CFDF7" w14:textId="3DDE5F6B" w:rsidR="00A0754C" w:rsidRPr="00965610" w:rsidRDefault="00A0754C" w:rsidP="00A0754C">
      <w:pPr>
        <w:jc w:val="both"/>
        <w:rPr>
          <w:color w:val="000000"/>
        </w:rPr>
      </w:pPr>
      <w:r w:rsidRPr="00965610">
        <w:rPr>
          <w:color w:val="000000"/>
        </w:rPr>
        <w:t>Teachers and students alike had positive experiences with the iLit program beginning with their first year exposed to the program.  Teachers felt the program was easy to implement in the classroom and that the program fit with their instructional philosophy.  T</w:t>
      </w:r>
      <w:r>
        <w:rPr>
          <w:color w:val="000000"/>
        </w:rPr>
        <w:t>he digital</w:t>
      </w:r>
      <w:r w:rsidRPr="00965610">
        <w:rPr>
          <w:color w:val="000000"/>
        </w:rPr>
        <w:t xml:space="preserve"> delivery, however, created i</w:t>
      </w:r>
      <w:r>
        <w:rPr>
          <w:color w:val="000000"/>
        </w:rPr>
        <w:t>ssues throughout the study for schools</w:t>
      </w:r>
      <w:r w:rsidRPr="00965610">
        <w:rPr>
          <w:color w:val="000000"/>
        </w:rPr>
        <w:t xml:space="preserve">.  Most of the time these issues could be attributed to a site’s local infrastructure, however, teachers did experience occasional glitches with the iLit program. </w:t>
      </w:r>
    </w:p>
    <w:p w14:paraId="6D27A97F" w14:textId="77777777" w:rsidR="00A0754C" w:rsidRPr="00965610" w:rsidRDefault="00A0754C" w:rsidP="00A0754C">
      <w:pPr>
        <w:jc w:val="both"/>
      </w:pPr>
    </w:p>
    <w:p w14:paraId="259E52E4" w14:textId="77777777" w:rsidR="00A0754C" w:rsidRPr="00674E90" w:rsidRDefault="00A0754C" w:rsidP="00A0754C">
      <w:pPr>
        <w:jc w:val="both"/>
      </w:pPr>
      <w:r w:rsidRPr="00674E90">
        <w:t xml:space="preserve">A majority of students (i.e., 69%) demonstrated an overall positive attitude towards the program in the 2013-14 school year.  This was reduced to 50% of students when surveyed in the next school year.  </w:t>
      </w:r>
      <w:r>
        <w:t>i</w:t>
      </w:r>
      <w:r w:rsidRPr="00674E90">
        <w:t xml:space="preserve">Lit students also demonstrated a statistically similar </w:t>
      </w:r>
      <w:r w:rsidRPr="00674E90">
        <w:rPr>
          <w:color w:val="000000"/>
        </w:rPr>
        <w:t>literacy academic attitudes</w:t>
      </w:r>
      <w:r w:rsidRPr="00674E90">
        <w:t xml:space="preserve"> to their comparison group peers across the two school years</w:t>
      </w:r>
      <w:r w:rsidRPr="00674E90">
        <w:rPr>
          <w:color w:val="000000"/>
        </w:rPr>
        <w:t>.</w:t>
      </w:r>
    </w:p>
    <w:p w14:paraId="45DEC214" w14:textId="77777777" w:rsidR="00A0754C" w:rsidRPr="00A8387B" w:rsidRDefault="00A0754C" w:rsidP="00A0754C">
      <w:pPr>
        <w:jc w:val="both"/>
        <w:rPr>
          <w:highlight w:val="yellow"/>
        </w:rPr>
      </w:pPr>
    </w:p>
    <w:p w14:paraId="0DC85D86" w14:textId="77777777" w:rsidR="00A0754C" w:rsidRDefault="00A0754C" w:rsidP="00A0754C">
      <w:pPr>
        <w:jc w:val="both"/>
        <w:rPr>
          <w:color w:val="000000"/>
        </w:rPr>
      </w:pPr>
      <w:r w:rsidRPr="00B05DAC">
        <w:rPr>
          <w:color w:val="000000"/>
        </w:rPr>
        <w:t xml:space="preserve">Teachers felt the program was easy to implement in the classroom, well-paced, and liked the daily </w:t>
      </w:r>
      <w:r w:rsidRPr="00975803">
        <w:rPr>
          <w:color w:val="000000"/>
        </w:rPr>
        <w:t xml:space="preserve">components of the program.  </w:t>
      </w:r>
      <w:r w:rsidRPr="00FF3781">
        <w:rPr>
          <w:color w:val="000000"/>
        </w:rPr>
        <w:t xml:space="preserve">All classrooms experienced technology issues throughout the </w:t>
      </w:r>
      <w:r>
        <w:rPr>
          <w:color w:val="000000"/>
        </w:rPr>
        <w:t xml:space="preserve">two </w:t>
      </w:r>
      <w:r w:rsidRPr="00FF3781">
        <w:rPr>
          <w:color w:val="000000"/>
        </w:rPr>
        <w:t>school year</w:t>
      </w:r>
      <w:r>
        <w:rPr>
          <w:color w:val="000000"/>
        </w:rPr>
        <w:t>s</w:t>
      </w:r>
      <w:r w:rsidRPr="00FF3781">
        <w:rPr>
          <w:color w:val="000000"/>
        </w:rPr>
        <w:t xml:space="preserve">.  Most of the time these issues could be attributed </w:t>
      </w:r>
      <w:r>
        <w:rPr>
          <w:color w:val="000000"/>
        </w:rPr>
        <w:t>to a site’s local infrastructure and</w:t>
      </w:r>
      <w:r w:rsidRPr="00FF3781">
        <w:rPr>
          <w:color w:val="000000"/>
        </w:rPr>
        <w:t xml:space="preserve"> </w:t>
      </w:r>
      <w:r>
        <w:rPr>
          <w:color w:val="000000"/>
        </w:rPr>
        <w:t>the majority of technology issues were dealt with in 2013</w:t>
      </w:r>
      <w:r w:rsidRPr="00FF3781">
        <w:rPr>
          <w:color w:val="000000"/>
        </w:rPr>
        <w:t>.</w:t>
      </w:r>
      <w:r>
        <w:rPr>
          <w:color w:val="000000"/>
        </w:rPr>
        <w:t xml:space="preserve">  All teachers agreed problems were negligible the second school year.</w:t>
      </w:r>
      <w:r w:rsidRPr="00FF3781">
        <w:rPr>
          <w:color w:val="000000"/>
        </w:rPr>
        <w:t xml:space="preserve"> </w:t>
      </w:r>
    </w:p>
    <w:p w14:paraId="5AB89281" w14:textId="77777777" w:rsidR="00A0754C" w:rsidRPr="00165DDC" w:rsidRDefault="00A0754C" w:rsidP="00A0754C">
      <w:pPr>
        <w:jc w:val="both"/>
        <w:rPr>
          <w:color w:val="000000"/>
        </w:rPr>
      </w:pPr>
    </w:p>
    <w:p w14:paraId="75D93ADF" w14:textId="77777777" w:rsidR="00A0754C" w:rsidRPr="00037EBC" w:rsidRDefault="00A0754C" w:rsidP="00A0754C">
      <w:pPr>
        <w:jc w:val="both"/>
        <w:rPr>
          <w:color w:val="000000"/>
        </w:rPr>
      </w:pPr>
      <w:r w:rsidRPr="00037EBC">
        <w:rPr>
          <w:color w:val="000000"/>
        </w:rPr>
        <w:t xml:space="preserve">Teachers </w:t>
      </w:r>
      <w:r>
        <w:rPr>
          <w:color w:val="000000"/>
        </w:rPr>
        <w:t xml:space="preserve">also </w:t>
      </w:r>
      <w:r w:rsidRPr="00037EBC">
        <w:rPr>
          <w:color w:val="000000"/>
        </w:rPr>
        <w:t>felt their students were engaged by the program through the tablet use, interactivity, lesson presentations, and plethora of independent reading stories.  It was, however, apparent that these teachers also felt the motivation of their classrooms fell off as the initial school year progressed.  This drop off in motivation was attributed to a combination of the relatively long 90 minute blocks and the routine nature of the program.  Teachers felt student motivation picked up in the second school year.  This was attributed to occasionally changing up the order of the component, supplementing the program (ex., incorporate fun seasonal or topical activities), and reducing the daily time on the program.</w:t>
      </w:r>
    </w:p>
    <w:p w14:paraId="4F8B3C0E" w14:textId="77777777" w:rsidR="00A0754C" w:rsidRDefault="00A0754C" w:rsidP="00F963F2">
      <w:pPr>
        <w:jc w:val="both"/>
      </w:pPr>
    </w:p>
    <w:p w14:paraId="4AB2B2EC" w14:textId="77777777" w:rsidR="00F963F2" w:rsidRPr="00893041" w:rsidRDefault="00F963F2" w:rsidP="00F963F2">
      <w:pPr>
        <w:jc w:val="both"/>
        <w:rPr>
          <w:b/>
          <w:i/>
          <w:color w:val="000080"/>
          <w:sz w:val="28"/>
          <w:szCs w:val="28"/>
        </w:rPr>
      </w:pPr>
      <w:r w:rsidRPr="00893041">
        <w:rPr>
          <w:b/>
          <w:i/>
          <w:color w:val="000080"/>
          <w:sz w:val="28"/>
          <w:szCs w:val="28"/>
        </w:rPr>
        <w:t xml:space="preserve">The focus group responses to iLit were overall very positive in 2013-14, with 81% of responses coded as positive in nature. Responses remained positive in the second school year with 69% positive comments overall.  </w:t>
      </w:r>
    </w:p>
    <w:p w14:paraId="2FE344A6" w14:textId="77777777" w:rsidR="00F963F2" w:rsidRDefault="00F963F2" w:rsidP="00F963F2">
      <w:pPr>
        <w:jc w:val="both"/>
        <w:rPr>
          <w:color w:val="000000"/>
          <w:highlight w:val="yellow"/>
        </w:rPr>
      </w:pPr>
    </w:p>
    <w:p w14:paraId="03A2AEEE" w14:textId="77777777" w:rsidR="008A59DE" w:rsidRDefault="008A59DE" w:rsidP="00706B59">
      <w:pPr>
        <w:jc w:val="both"/>
        <w:rPr>
          <w:color w:val="000000"/>
        </w:rPr>
      </w:pPr>
    </w:p>
    <w:p w14:paraId="131D8F72" w14:textId="77777777" w:rsidR="0068733E" w:rsidRDefault="0068733E" w:rsidP="00706B59">
      <w:pPr>
        <w:jc w:val="both"/>
        <w:rPr>
          <w:color w:val="000000"/>
        </w:rPr>
      </w:pPr>
    </w:p>
    <w:p w14:paraId="7014B79E" w14:textId="77777777" w:rsidR="003D244A" w:rsidRPr="00651467" w:rsidRDefault="003D244A" w:rsidP="002340EC">
      <w:pPr>
        <w:jc w:val="both"/>
        <w:rPr>
          <w:color w:val="000080"/>
          <w:sz w:val="16"/>
          <w:szCs w:val="16"/>
        </w:rPr>
      </w:pPr>
      <w:r w:rsidRPr="00651467">
        <w:rPr>
          <w:color w:val="000080"/>
          <w:sz w:val="16"/>
          <w:szCs w:val="16"/>
        </w:rPr>
        <w:tab/>
      </w:r>
      <w:r w:rsidRPr="00651467">
        <w:rPr>
          <w:color w:val="000080"/>
          <w:sz w:val="16"/>
          <w:szCs w:val="16"/>
        </w:rPr>
        <w:tab/>
      </w:r>
      <w:r w:rsidRPr="00651467">
        <w:rPr>
          <w:color w:val="000080"/>
          <w:sz w:val="16"/>
          <w:szCs w:val="16"/>
        </w:rPr>
        <w:tab/>
      </w:r>
      <w:r w:rsidRPr="00651467">
        <w:rPr>
          <w:color w:val="000080"/>
          <w:sz w:val="16"/>
          <w:szCs w:val="16"/>
        </w:rPr>
        <w:tab/>
        <w:t xml:space="preserve">            This summary and its content are proprietary information belonging to Gatti Evaluation Inc.</w:t>
      </w:r>
      <w:r w:rsidRPr="00651467">
        <w:rPr>
          <w:color w:val="000080"/>
          <w:sz w:val="16"/>
          <w:szCs w:val="16"/>
        </w:rPr>
        <w:tab/>
      </w:r>
    </w:p>
    <w:p w14:paraId="65D512DF" w14:textId="77777777" w:rsidR="003D244A" w:rsidRPr="007F2468" w:rsidRDefault="003D244A" w:rsidP="002340EC">
      <w:pPr>
        <w:autoSpaceDE w:val="0"/>
        <w:autoSpaceDN w:val="0"/>
        <w:adjustRightInd w:val="0"/>
        <w:rPr>
          <w:b/>
          <w:color w:val="FFFF99"/>
          <w:sz w:val="8"/>
          <w:szCs w:val="8"/>
          <w:highlight w:val="darkBlue"/>
        </w:rPr>
      </w:pP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r w:rsidRPr="007F2468">
        <w:rPr>
          <w:b/>
          <w:color w:val="FFFF99"/>
          <w:sz w:val="8"/>
          <w:szCs w:val="8"/>
          <w:highlight w:val="darkBlue"/>
        </w:rPr>
        <w:tab/>
      </w:r>
    </w:p>
    <w:p w14:paraId="3A41D332" w14:textId="77777777" w:rsidR="003D244A" w:rsidRPr="00531D16" w:rsidRDefault="003D244A" w:rsidP="002340EC">
      <w:pPr>
        <w:jc w:val="both"/>
        <w:rPr>
          <w:color w:val="000000"/>
          <w:sz w:val="8"/>
          <w:szCs w:val="8"/>
        </w:rPr>
      </w:pPr>
    </w:p>
    <w:p w14:paraId="0A500B5F" w14:textId="77777777" w:rsidR="00994F3C" w:rsidRDefault="00D37AE3" w:rsidP="003D7BFE">
      <w:pPr>
        <w:autoSpaceDE w:val="0"/>
        <w:autoSpaceDN w:val="0"/>
        <w:adjustRightInd w:val="0"/>
        <w:rPr>
          <w:b/>
          <w:color w:val="FFFF99"/>
          <w:highlight w:val="darkBlue"/>
        </w:rPr>
        <w:sectPr w:rsidR="00994F3C" w:rsidSect="00042C9C">
          <w:footerReference w:type="default" r:id="rId14"/>
          <w:type w:val="continuous"/>
          <w:pgSz w:w="12240" w:h="15840" w:code="1"/>
          <w:pgMar w:top="1267" w:right="1440" w:bottom="547" w:left="1440" w:header="720" w:footer="720" w:gutter="0"/>
          <w:pgNumType w:fmt="lowerRoman"/>
          <w:cols w:space="720"/>
          <w:noEndnote/>
          <w:docGrid w:linePitch="326"/>
        </w:sectPr>
      </w:pPr>
      <w:r>
        <w:rPr>
          <w:b/>
          <w:color w:val="FFFF99"/>
          <w:highlight w:val="darkBlue"/>
        </w:rPr>
        <w:br w:type="page"/>
      </w:r>
    </w:p>
    <w:p w14:paraId="3BD0E5B2"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lastRenderedPageBreak/>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5808C19E" w14:textId="77777777" w:rsidR="003D244A" w:rsidRDefault="003D244A" w:rsidP="003D7BFE">
      <w:pPr>
        <w:rPr>
          <w:color w:val="000080"/>
          <w:sz w:val="28"/>
          <w:szCs w:val="28"/>
        </w:rPr>
      </w:pPr>
      <w:r>
        <w:rPr>
          <w:b/>
          <w:color w:val="000080"/>
          <w:sz w:val="28"/>
          <w:szCs w:val="28"/>
        </w:rPr>
        <w:t xml:space="preserve">                                                 I. INTRODUCTION</w:t>
      </w:r>
      <w:r>
        <w:rPr>
          <w:b/>
          <w:color w:val="000080"/>
          <w:sz w:val="28"/>
          <w:szCs w:val="28"/>
        </w:rPr>
        <w:tab/>
      </w:r>
      <w:r>
        <w:rPr>
          <w:b/>
          <w:color w:val="000080"/>
          <w:sz w:val="28"/>
          <w:szCs w:val="28"/>
        </w:rPr>
        <w:tab/>
      </w:r>
      <w:r>
        <w:rPr>
          <w:b/>
          <w:color w:val="000080"/>
          <w:sz w:val="28"/>
          <w:szCs w:val="28"/>
        </w:rPr>
        <w:tab/>
      </w:r>
      <w:r>
        <w:rPr>
          <w:b/>
          <w:color w:val="000080"/>
          <w:sz w:val="28"/>
          <w:szCs w:val="28"/>
        </w:rPr>
        <w:tab/>
      </w:r>
      <w:r>
        <w:rPr>
          <w:b/>
          <w:color w:val="000080"/>
          <w:sz w:val="28"/>
          <w:szCs w:val="28"/>
        </w:rPr>
        <w:tab/>
        <w:t xml:space="preserve">     </w:t>
      </w:r>
    </w:p>
    <w:p w14:paraId="62F8B013"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7987B565" w14:textId="77777777" w:rsidR="003D244A" w:rsidRDefault="003D244A" w:rsidP="003D7BFE">
      <w:pPr>
        <w:rPr>
          <w:color w:val="000000"/>
        </w:rPr>
      </w:pPr>
    </w:p>
    <w:p w14:paraId="6646E47E" w14:textId="77777777" w:rsidR="003D244A" w:rsidRDefault="003D244A" w:rsidP="003D7BFE">
      <w:pPr>
        <w:jc w:val="both"/>
        <w:rPr>
          <w:b/>
          <w:i/>
          <w:color w:val="000080"/>
          <w:sz w:val="28"/>
          <w:szCs w:val="28"/>
        </w:rPr>
      </w:pPr>
      <w:r>
        <w:rPr>
          <w:b/>
          <w:i/>
          <w:color w:val="000080"/>
          <w:sz w:val="28"/>
          <w:szCs w:val="28"/>
        </w:rPr>
        <w:t xml:space="preserve">Pearson partnered with Gatti Evaluation to study the efficacy of the iLit program in a longitudinal study during the 2013-14 and 2014-15 school years.  </w:t>
      </w:r>
    </w:p>
    <w:p w14:paraId="48B898E7" w14:textId="77777777" w:rsidR="003D244A" w:rsidRDefault="003D244A" w:rsidP="003D7BFE">
      <w:pPr>
        <w:rPr>
          <w:color w:val="000000"/>
        </w:rPr>
      </w:pPr>
    </w:p>
    <w:p w14:paraId="6CCEBBAB" w14:textId="1454D516" w:rsidR="003D244A" w:rsidRPr="00B323B6" w:rsidRDefault="003D244A" w:rsidP="003D7BFE">
      <w:pPr>
        <w:jc w:val="both"/>
        <w:rPr>
          <w:rStyle w:val="Strong"/>
          <w:b w:val="0"/>
          <w:bCs w:val="0"/>
          <w:color w:val="000000"/>
        </w:rPr>
      </w:pPr>
      <w:r>
        <w:rPr>
          <w:color w:val="000000"/>
        </w:rPr>
        <w:t>As schools prepare for their first school year testing Common Core State Standards (CCSS)</w:t>
      </w:r>
      <w:r>
        <w:rPr>
          <w:rStyle w:val="FootnoteReference"/>
        </w:rPr>
        <w:t xml:space="preserve"> </w:t>
      </w:r>
      <w:bookmarkStart w:id="1" w:name="_Ref405311781"/>
      <w:r>
        <w:rPr>
          <w:rStyle w:val="FootnoteReference"/>
        </w:rPr>
        <w:footnoteReference w:id="1"/>
      </w:r>
      <w:bookmarkEnd w:id="1"/>
      <w:r>
        <w:rPr>
          <w:color w:val="000000"/>
        </w:rPr>
        <w:t xml:space="preserve">, while still striving to meet adequate yearly progress goals, many are attempting to maximize their efforts by implementing Common Core aligned, technology based, core literacy programs.  </w:t>
      </w:r>
      <w:r>
        <w:t>In response,</w:t>
      </w:r>
      <w:r w:rsidR="00490324">
        <w:t xml:space="preserve"> Pearson developed</w:t>
      </w:r>
      <w:r>
        <w:t xml:space="preserve"> </w:t>
      </w:r>
      <w:r w:rsidR="00490324">
        <w:t>the inspire</w:t>
      </w:r>
      <w:r w:rsidR="00F35EE1">
        <w:t xml:space="preserve"> </w:t>
      </w:r>
      <w:r w:rsidR="00490324">
        <w:t>Literacy</w:t>
      </w:r>
      <w:r w:rsidR="00490324" w:rsidRPr="00C35C03">
        <w:t xml:space="preserve"> </w:t>
      </w:r>
      <w:r w:rsidR="00490324">
        <w:t>(</w:t>
      </w:r>
      <w:r w:rsidR="00490324" w:rsidRPr="00C35C03">
        <w:t>iLit</w:t>
      </w:r>
      <w:r w:rsidR="00490324">
        <w:t>) program</w:t>
      </w:r>
      <w:r w:rsidR="00490324" w:rsidRPr="00C35C03">
        <w:t>.</w:t>
      </w:r>
      <w:r w:rsidR="00490324" w:rsidRPr="00C35C03">
        <w:rPr>
          <w:color w:val="000000"/>
        </w:rPr>
        <w:t xml:space="preserve"> </w:t>
      </w:r>
      <w:r w:rsidR="00490324" w:rsidRPr="00C35C03">
        <w:t xml:space="preserve"> </w:t>
      </w:r>
      <w:r w:rsidR="00773117" w:rsidRPr="00B323B6">
        <w:rPr>
          <w:color w:val="000000"/>
        </w:rPr>
        <w:t>iLit</w:t>
      </w:r>
      <w:r w:rsidR="00773117" w:rsidRPr="00B323B6">
        <w:rPr>
          <w:rStyle w:val="Strong"/>
          <w:b w:val="0"/>
          <w:color w:val="000000"/>
        </w:rPr>
        <w:t xml:space="preserve"> </w:t>
      </w:r>
      <w:r w:rsidR="00773117" w:rsidRPr="00CA3571">
        <w:rPr>
          <w:rStyle w:val="Strong"/>
          <w:b w:val="0"/>
          <w:color w:val="000000"/>
        </w:rPr>
        <w:t xml:space="preserve">is a </w:t>
      </w:r>
      <w:r w:rsidR="00CA3571" w:rsidRPr="00CA3571">
        <w:t>fully digital</w:t>
      </w:r>
      <w:r w:rsidR="00CA3571" w:rsidRPr="00CA3571">
        <w:rPr>
          <w:color w:val="000000"/>
        </w:rPr>
        <w:t>,</w:t>
      </w:r>
      <w:r w:rsidR="00773117" w:rsidRPr="00CA3571">
        <w:rPr>
          <w:color w:val="000000"/>
        </w:rPr>
        <w:t xml:space="preserve"> Common</w:t>
      </w:r>
      <w:r w:rsidR="00773117" w:rsidRPr="00B323B6">
        <w:rPr>
          <w:color w:val="000000"/>
        </w:rPr>
        <w:t xml:space="preserve"> Core aligned reading intervention designed to meet the needs of 4</w:t>
      </w:r>
      <w:r w:rsidR="00773117" w:rsidRPr="00B323B6">
        <w:rPr>
          <w:color w:val="000000"/>
          <w:vertAlign w:val="superscript"/>
        </w:rPr>
        <w:t>th</w:t>
      </w:r>
      <w:r w:rsidR="00773117" w:rsidRPr="00B323B6">
        <w:rPr>
          <w:color w:val="000000"/>
        </w:rPr>
        <w:t xml:space="preserve"> to 10</w:t>
      </w:r>
      <w:r w:rsidR="00773117" w:rsidRPr="00B323B6">
        <w:rPr>
          <w:color w:val="000000"/>
          <w:vertAlign w:val="superscript"/>
        </w:rPr>
        <w:t>th</w:t>
      </w:r>
      <w:r w:rsidR="00773117" w:rsidRPr="00B323B6">
        <w:rPr>
          <w:color w:val="000000"/>
        </w:rPr>
        <w:t xml:space="preserve"> grade students reading below grade level.</w:t>
      </w:r>
    </w:p>
    <w:p w14:paraId="52028296" w14:textId="77777777" w:rsidR="00773117" w:rsidRDefault="00773117" w:rsidP="003D7BFE">
      <w:pPr>
        <w:jc w:val="both"/>
      </w:pPr>
    </w:p>
    <w:p w14:paraId="45588AE2" w14:textId="59915A04" w:rsidR="003D244A" w:rsidRDefault="003D244A" w:rsidP="003D7BFE">
      <w:pPr>
        <w:jc w:val="both"/>
      </w:pPr>
      <w:r>
        <w:rPr>
          <w:color w:val="000000"/>
        </w:rPr>
        <w:t>Gatti Evaluation has partnered with Pearson to</w:t>
      </w:r>
      <w:r>
        <w:t xml:space="preserve"> conduct an independent longitudinal </w:t>
      </w:r>
      <w:r w:rsidR="00490324">
        <w:t xml:space="preserve">randomized control trial </w:t>
      </w:r>
      <w:r>
        <w:t xml:space="preserve">efficacy study of the iLit program.  </w:t>
      </w:r>
      <w:r>
        <w:rPr>
          <w:color w:val="000000"/>
        </w:rPr>
        <w:t>The program w</w:t>
      </w:r>
      <w:r w:rsidR="00DB3AF0">
        <w:rPr>
          <w:color w:val="000000"/>
        </w:rPr>
        <w:t>as</w:t>
      </w:r>
      <w:r>
        <w:rPr>
          <w:color w:val="000000"/>
        </w:rPr>
        <w:t xml:space="preserve"> evaluated in</w:t>
      </w:r>
      <w:r>
        <w:t xml:space="preserve"> classrooms with at-risk middle grade students (i.e., 7</w:t>
      </w:r>
      <w:r>
        <w:rPr>
          <w:vertAlign w:val="superscript"/>
        </w:rPr>
        <w:t>th</w:t>
      </w:r>
      <w:r>
        <w:sym w:font="Wingdings" w:char="F0E0"/>
      </w:r>
      <w:r>
        <w:t>8</w:t>
      </w:r>
      <w:r>
        <w:rPr>
          <w:vertAlign w:val="superscript"/>
        </w:rPr>
        <w:t>th</w:t>
      </w:r>
      <w:r>
        <w:t>) distributed</w:t>
      </w:r>
      <w:r>
        <w:rPr>
          <w:color w:val="000000"/>
        </w:rPr>
        <w:t xml:space="preserve"> in </w:t>
      </w:r>
      <w:r>
        <w:t>six schools from six different states (AZ, CA, CO, MI, NJ, and NY) during the 2013-14 and 2014-15 school years</w:t>
      </w:r>
      <w:r w:rsidRPr="00045B64">
        <w:t xml:space="preserve">.  </w:t>
      </w:r>
      <w:r w:rsidRPr="00045B64">
        <w:rPr>
          <w:color w:val="000000"/>
        </w:rPr>
        <w:t>This report provides</w:t>
      </w:r>
      <w:r w:rsidRPr="00045B64">
        <w:t xml:space="preserve"> </w:t>
      </w:r>
      <w:r w:rsidRPr="00045B64">
        <w:rPr>
          <w:color w:val="000000"/>
        </w:rPr>
        <w:t>methods and results for this longitudinal research effort</w:t>
      </w:r>
      <w:r w:rsidR="00045B64" w:rsidRPr="00045B64">
        <w:t>.</w:t>
      </w:r>
    </w:p>
    <w:p w14:paraId="70D4EA7F" w14:textId="4A028ED8" w:rsidR="003D244A" w:rsidRDefault="003D244A" w:rsidP="003D7BFE">
      <w:pPr>
        <w:pStyle w:val="Title"/>
        <w:jc w:val="both"/>
        <w:rPr>
          <w:sz w:val="24"/>
        </w:rPr>
      </w:pPr>
    </w:p>
    <w:p w14:paraId="333507A5" w14:textId="0C1C01D6" w:rsidR="003D244A" w:rsidRDefault="003D244A" w:rsidP="003D7BFE">
      <w:pPr>
        <w:jc w:val="both"/>
        <w:rPr>
          <w:b/>
          <w:i/>
          <w:color w:val="000080"/>
          <w:sz w:val="28"/>
          <w:szCs w:val="28"/>
        </w:rPr>
      </w:pPr>
      <w:r>
        <w:rPr>
          <w:b/>
          <w:i/>
          <w:color w:val="000080"/>
          <w:sz w:val="28"/>
          <w:szCs w:val="28"/>
        </w:rPr>
        <w:t>iLit</w:t>
      </w:r>
      <w:r>
        <w:rPr>
          <w:rStyle w:val="Strong"/>
          <w:b w:val="0"/>
          <w:i/>
          <w:color w:val="000080"/>
          <w:sz w:val="28"/>
          <w:szCs w:val="28"/>
        </w:rPr>
        <w:t xml:space="preserve"> </w:t>
      </w:r>
      <w:r>
        <w:rPr>
          <w:rStyle w:val="Strong"/>
          <w:i/>
          <w:color w:val="000080"/>
          <w:sz w:val="28"/>
          <w:szCs w:val="28"/>
        </w:rPr>
        <w:t>is a</w:t>
      </w:r>
      <w:r>
        <w:rPr>
          <w:rStyle w:val="Strong"/>
          <w:b w:val="0"/>
          <w:i/>
          <w:color w:val="000080"/>
          <w:sz w:val="28"/>
          <w:szCs w:val="28"/>
        </w:rPr>
        <w:t xml:space="preserve"> </w:t>
      </w:r>
      <w:r w:rsidR="00CA3571" w:rsidRPr="00CA3571">
        <w:rPr>
          <w:b/>
          <w:i/>
          <w:color w:val="000080"/>
          <w:sz w:val="28"/>
          <w:szCs w:val="28"/>
        </w:rPr>
        <w:t>fully digital</w:t>
      </w:r>
      <w:r w:rsidR="00490324">
        <w:rPr>
          <w:b/>
          <w:i/>
          <w:color w:val="000080"/>
          <w:sz w:val="28"/>
          <w:szCs w:val="28"/>
        </w:rPr>
        <w:t xml:space="preserve"> </w:t>
      </w:r>
      <w:r w:rsidR="001111F9">
        <w:rPr>
          <w:b/>
          <w:i/>
          <w:color w:val="000080"/>
          <w:sz w:val="28"/>
          <w:szCs w:val="28"/>
        </w:rPr>
        <w:t xml:space="preserve">Common Core aligned </w:t>
      </w:r>
      <w:r w:rsidR="00490324">
        <w:rPr>
          <w:b/>
          <w:i/>
          <w:color w:val="000080"/>
          <w:sz w:val="28"/>
          <w:szCs w:val="28"/>
        </w:rPr>
        <w:t xml:space="preserve">reading intervention </w:t>
      </w:r>
      <w:r w:rsidR="001111F9">
        <w:rPr>
          <w:b/>
          <w:i/>
          <w:color w:val="000080"/>
          <w:sz w:val="28"/>
          <w:szCs w:val="28"/>
        </w:rPr>
        <w:t xml:space="preserve">designed </w:t>
      </w:r>
      <w:r w:rsidR="006534FB">
        <w:rPr>
          <w:b/>
          <w:i/>
          <w:color w:val="000080"/>
          <w:sz w:val="28"/>
          <w:szCs w:val="28"/>
        </w:rPr>
        <w:t>to meet</w:t>
      </w:r>
      <w:r w:rsidR="001111F9">
        <w:rPr>
          <w:b/>
          <w:i/>
          <w:color w:val="000080"/>
          <w:sz w:val="28"/>
          <w:szCs w:val="28"/>
        </w:rPr>
        <w:t xml:space="preserve"> </w:t>
      </w:r>
      <w:r w:rsidR="006534FB">
        <w:rPr>
          <w:b/>
          <w:i/>
          <w:color w:val="000080"/>
          <w:sz w:val="28"/>
          <w:szCs w:val="28"/>
        </w:rPr>
        <w:t xml:space="preserve">the </w:t>
      </w:r>
      <w:r w:rsidR="001111F9">
        <w:rPr>
          <w:b/>
          <w:i/>
          <w:color w:val="000080"/>
          <w:sz w:val="28"/>
          <w:szCs w:val="28"/>
        </w:rPr>
        <w:t xml:space="preserve">needs of </w:t>
      </w:r>
      <w:r w:rsidR="006534FB">
        <w:rPr>
          <w:b/>
          <w:i/>
          <w:color w:val="000080"/>
          <w:sz w:val="28"/>
          <w:szCs w:val="28"/>
        </w:rPr>
        <w:t>4</w:t>
      </w:r>
      <w:r w:rsidR="006534FB" w:rsidRPr="006534FB">
        <w:rPr>
          <w:b/>
          <w:i/>
          <w:color w:val="000080"/>
          <w:sz w:val="28"/>
          <w:szCs w:val="28"/>
          <w:vertAlign w:val="superscript"/>
        </w:rPr>
        <w:t>th</w:t>
      </w:r>
      <w:r w:rsidR="006534FB">
        <w:rPr>
          <w:b/>
          <w:i/>
          <w:color w:val="000080"/>
          <w:sz w:val="28"/>
          <w:szCs w:val="28"/>
        </w:rPr>
        <w:t xml:space="preserve"> to 10</w:t>
      </w:r>
      <w:r w:rsidR="006534FB" w:rsidRPr="006534FB">
        <w:rPr>
          <w:b/>
          <w:i/>
          <w:color w:val="000080"/>
          <w:sz w:val="28"/>
          <w:szCs w:val="28"/>
          <w:vertAlign w:val="superscript"/>
        </w:rPr>
        <w:t>th</w:t>
      </w:r>
      <w:r w:rsidR="006534FB">
        <w:rPr>
          <w:b/>
          <w:i/>
          <w:color w:val="000080"/>
          <w:sz w:val="28"/>
          <w:szCs w:val="28"/>
        </w:rPr>
        <w:t xml:space="preserve"> grade </w:t>
      </w:r>
      <w:r w:rsidR="001111F9">
        <w:rPr>
          <w:b/>
          <w:i/>
          <w:color w:val="000080"/>
          <w:sz w:val="28"/>
          <w:szCs w:val="28"/>
        </w:rPr>
        <w:t>students reading below grade level</w:t>
      </w:r>
      <w:r>
        <w:rPr>
          <w:b/>
          <w:i/>
          <w:color w:val="000080"/>
          <w:sz w:val="28"/>
          <w:szCs w:val="28"/>
        </w:rPr>
        <w:t xml:space="preserve">.  </w:t>
      </w:r>
    </w:p>
    <w:p w14:paraId="14730203" w14:textId="77777777" w:rsidR="003D244A" w:rsidRDefault="003D244A" w:rsidP="003D7BFE">
      <w:pPr>
        <w:pStyle w:val="Title"/>
        <w:jc w:val="both"/>
        <w:rPr>
          <w:sz w:val="24"/>
        </w:rPr>
      </w:pPr>
    </w:p>
    <w:p w14:paraId="1B20E1FE" w14:textId="77777777" w:rsidR="003D244A" w:rsidRDefault="003D244A" w:rsidP="003D7BFE">
      <w:pPr>
        <w:pStyle w:val="black85em"/>
        <w:spacing w:before="0" w:beforeAutospacing="0" w:after="0" w:afterAutospacing="0"/>
        <w:jc w:val="both"/>
        <w:rPr>
          <w:rFonts w:ascii="Times New Roman" w:hAnsi="Times New Roman" w:cs="Times New Roman"/>
          <w:sz w:val="24"/>
          <w:szCs w:val="24"/>
        </w:rPr>
      </w:pPr>
    </w:p>
    <w:p w14:paraId="578A89E4"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highlight w:val="darkBlue"/>
        </w:rPr>
        <w:t xml:space="preserve">  </w:t>
      </w:r>
    </w:p>
    <w:p w14:paraId="78D8C7A4" w14:textId="77777777" w:rsidR="003D244A" w:rsidRDefault="003D244A" w:rsidP="003D7BFE">
      <w:pPr>
        <w:rPr>
          <w:i/>
          <w:color w:val="000080"/>
          <w:sz w:val="28"/>
          <w:szCs w:val="28"/>
        </w:rPr>
      </w:pPr>
      <w:r>
        <w:rPr>
          <w:b/>
          <w:color w:val="000080"/>
          <w:sz w:val="28"/>
          <w:szCs w:val="28"/>
        </w:rPr>
        <w:t xml:space="preserve">  </w:t>
      </w:r>
      <w:r>
        <w:rPr>
          <w:b/>
          <w:i/>
          <w:color w:val="000080"/>
          <w:sz w:val="28"/>
          <w:szCs w:val="28"/>
        </w:rPr>
        <w:t>Study Goals and Research Questions</w:t>
      </w:r>
      <w:r>
        <w:rPr>
          <w:b/>
          <w:i/>
          <w:color w:val="000080"/>
          <w:sz w:val="28"/>
          <w:szCs w:val="28"/>
        </w:rPr>
        <w:tab/>
      </w:r>
    </w:p>
    <w:p w14:paraId="2F6FDA49"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7115F829" w14:textId="77777777" w:rsidR="003D244A" w:rsidRDefault="003D244A" w:rsidP="003D7BFE">
      <w:pPr>
        <w:jc w:val="both"/>
      </w:pPr>
    </w:p>
    <w:p w14:paraId="72DE2E55" w14:textId="77777777" w:rsidR="003D244A" w:rsidRDefault="003D244A" w:rsidP="003D7BFE">
      <w:pPr>
        <w:pStyle w:val="Title"/>
        <w:jc w:val="both"/>
        <w:rPr>
          <w:sz w:val="24"/>
        </w:rPr>
      </w:pPr>
      <w:r w:rsidRPr="003217B7">
        <w:rPr>
          <w:color w:val="000000"/>
          <w:sz w:val="24"/>
        </w:rPr>
        <w:t>Theoretically, research-based</w:t>
      </w:r>
      <w:r w:rsidRPr="003217B7">
        <w:rPr>
          <w:rStyle w:val="Strong"/>
          <w:b w:val="0"/>
          <w:color w:val="000000"/>
          <w:sz w:val="24"/>
        </w:rPr>
        <w:t xml:space="preserve"> curricula</w:t>
      </w:r>
      <w:r w:rsidRPr="003217B7">
        <w:rPr>
          <w:color w:val="000000"/>
          <w:sz w:val="24"/>
        </w:rPr>
        <w:t xml:space="preserve"> can increase student achievement.  Although such a</w:t>
      </w:r>
      <w:r>
        <w:rPr>
          <w:color w:val="000000"/>
          <w:sz w:val="24"/>
        </w:rPr>
        <w:t xml:space="preserve"> curriculum may be skillfully applied to create an educational</w:t>
      </w:r>
      <w:r>
        <w:rPr>
          <w:sz w:val="24"/>
        </w:rPr>
        <w:t xml:space="preserve"> environment that significantly increases achievement, poorly designed and implemented program</w:t>
      </w:r>
      <w:r w:rsidR="00097603">
        <w:rPr>
          <w:sz w:val="24"/>
        </w:rPr>
        <w:t>s</w:t>
      </w:r>
      <w:r>
        <w:rPr>
          <w:sz w:val="24"/>
        </w:rPr>
        <w:t xml:space="preserve"> will provide little or no benefit, and may even be detrimental.  Poorly designed and implemented curricula can confuse and frustrate students and teachers, proving to be a waste of valuable resources and learning time.  For these reasons, managers of federal, state and local educational funding, as well as state and district adoption committees require publishers to conduct rigorous efficacy research to support the effectiveness of their educational materials.  </w:t>
      </w:r>
    </w:p>
    <w:p w14:paraId="50A47361" w14:textId="77777777" w:rsidR="003D244A" w:rsidRDefault="003D244A" w:rsidP="003D7BFE">
      <w:pPr>
        <w:jc w:val="both"/>
      </w:pPr>
    </w:p>
    <w:p w14:paraId="4FEB3DDC" w14:textId="77777777" w:rsidR="003D244A" w:rsidRDefault="003D244A" w:rsidP="003D7BFE">
      <w:pPr>
        <w:jc w:val="both"/>
      </w:pPr>
      <w:r>
        <w:t xml:space="preserve">The primary goal of the current project is to conduct </w:t>
      </w:r>
      <w:r>
        <w:rPr>
          <w:color w:val="000000"/>
        </w:rPr>
        <w:t xml:space="preserve">rigorous research to support the assertion that, when properly implemented, the </w:t>
      </w:r>
      <w:r>
        <w:t xml:space="preserve">iLit program effectively increases </w:t>
      </w:r>
      <w:r w:rsidR="00B904E6">
        <w:t xml:space="preserve">at-risk </w:t>
      </w:r>
      <w:r>
        <w:t xml:space="preserve">students’ achievement and attitudes in both the initial year of implementation as well as maintain this effect through the second school year.  iLit will further have its effectiveness tested against a comparison group </w:t>
      </w:r>
      <w:r w:rsidR="00B904E6">
        <w:t xml:space="preserve">(i.e., students randomly assigned iLit and comparison groups) </w:t>
      </w:r>
      <w:r>
        <w:t>of similar students in classrooms that did not switch curricula but continued to utilize district adopted programs and methods. The second goal for this project is to collect information on teacher and student attitudes towards features and aspects of iLit.  The research questions for this study</w:t>
      </w:r>
      <w:r>
        <w:rPr>
          <w:color w:val="000000"/>
        </w:rPr>
        <w:t xml:space="preserve"> are ou</w:t>
      </w:r>
      <w:r>
        <w:t>tlined below:</w:t>
      </w:r>
    </w:p>
    <w:p w14:paraId="0EB0F0CC" w14:textId="77777777" w:rsidR="003D244A" w:rsidRPr="00B904E6" w:rsidRDefault="003D244A" w:rsidP="003D7BFE">
      <w:pPr>
        <w:jc w:val="both"/>
        <w:rPr>
          <w:i/>
          <w:color w:val="000080"/>
        </w:rPr>
      </w:pPr>
      <w:r w:rsidRPr="00B904E6">
        <w:rPr>
          <w:i/>
          <w:color w:val="000080"/>
        </w:rPr>
        <w:lastRenderedPageBreak/>
        <w:t>RQ1. Do</w:t>
      </w:r>
      <w:r w:rsidR="00097603" w:rsidRPr="00B904E6">
        <w:rPr>
          <w:i/>
          <w:color w:val="000080"/>
        </w:rPr>
        <w:t xml:space="preserve"> </w:t>
      </w:r>
      <w:r w:rsidR="00B904E6" w:rsidRPr="00B904E6">
        <w:rPr>
          <w:i/>
          <w:color w:val="000080"/>
        </w:rPr>
        <w:t xml:space="preserve">below grade level </w:t>
      </w:r>
      <w:r w:rsidRPr="00B904E6">
        <w:rPr>
          <w:i/>
          <w:color w:val="000080"/>
        </w:rPr>
        <w:t>students</w:t>
      </w:r>
      <w:r w:rsidR="00B904E6" w:rsidRPr="00B904E6">
        <w:rPr>
          <w:i/>
          <w:color w:val="000080"/>
        </w:rPr>
        <w:t>,</w:t>
      </w:r>
      <w:r w:rsidRPr="00B904E6">
        <w:rPr>
          <w:i/>
          <w:color w:val="000080"/>
        </w:rPr>
        <w:t xml:space="preserve"> receiving core literacy instruction from the iLit program over the course of the initial and second school year of implementation</w:t>
      </w:r>
      <w:r w:rsidR="00B904E6" w:rsidRPr="00B904E6">
        <w:rPr>
          <w:i/>
          <w:color w:val="000080"/>
        </w:rPr>
        <w:t>,</w:t>
      </w:r>
      <w:r w:rsidRPr="00B904E6">
        <w:rPr>
          <w:i/>
          <w:color w:val="000080"/>
        </w:rPr>
        <w:t xml:space="preserve"> demonstrate a significant improvement in</w:t>
      </w:r>
      <w:r w:rsidR="00F35EE1">
        <w:rPr>
          <w:i/>
          <w:color w:val="000080"/>
        </w:rPr>
        <w:t xml:space="preserve"> literacy</w:t>
      </w:r>
      <w:r w:rsidRPr="00B904E6">
        <w:rPr>
          <w:i/>
          <w:color w:val="000080"/>
        </w:rPr>
        <w:t xml:space="preserve"> achievement? </w:t>
      </w:r>
    </w:p>
    <w:p w14:paraId="35128DB7" w14:textId="77777777" w:rsidR="003D244A" w:rsidRPr="004949E0" w:rsidRDefault="003D244A" w:rsidP="003D7BFE">
      <w:pPr>
        <w:rPr>
          <w:highlight w:val="cyan"/>
        </w:rPr>
      </w:pPr>
    </w:p>
    <w:p w14:paraId="23D36386" w14:textId="77777777" w:rsidR="003D244A" w:rsidRPr="00A55DB7" w:rsidRDefault="003D244A" w:rsidP="003D7BFE">
      <w:pPr>
        <w:jc w:val="both"/>
        <w:rPr>
          <w:i/>
          <w:color w:val="000080"/>
        </w:rPr>
      </w:pPr>
      <w:r w:rsidRPr="00A55DB7">
        <w:rPr>
          <w:i/>
          <w:color w:val="000080"/>
        </w:rPr>
        <w:t xml:space="preserve">RQ2. Do </w:t>
      </w:r>
      <w:r w:rsidR="007115B7" w:rsidRPr="00A55DB7">
        <w:rPr>
          <w:i/>
          <w:color w:val="000080"/>
        </w:rPr>
        <w:t>below grade level students,</w:t>
      </w:r>
      <w:r w:rsidRPr="00A55DB7">
        <w:rPr>
          <w:i/>
          <w:color w:val="000080"/>
        </w:rPr>
        <w:t xml:space="preserve"> receiving core literacy instruction from the iLit program over the course of the initial and second school year of implementation</w:t>
      </w:r>
      <w:r w:rsidR="00A55DB7" w:rsidRPr="00A55DB7">
        <w:rPr>
          <w:i/>
          <w:color w:val="000080"/>
        </w:rPr>
        <w:t>,</w:t>
      </w:r>
      <w:r w:rsidRPr="00A55DB7">
        <w:rPr>
          <w:i/>
          <w:color w:val="000080"/>
        </w:rPr>
        <w:t xml:space="preserve"> demonstrate a significant improvement in achievement over otherwise similar </w:t>
      </w:r>
      <w:r w:rsidR="00A55DB7" w:rsidRPr="00A55DB7">
        <w:rPr>
          <w:i/>
          <w:color w:val="000080"/>
        </w:rPr>
        <w:t xml:space="preserve">and randomized </w:t>
      </w:r>
      <w:r w:rsidRPr="00A55DB7">
        <w:rPr>
          <w:i/>
          <w:color w:val="000080"/>
        </w:rPr>
        <w:t xml:space="preserve">students in classrooms using their </w:t>
      </w:r>
      <w:r w:rsidR="00097603" w:rsidRPr="00A55DB7">
        <w:rPr>
          <w:i/>
          <w:color w:val="000080"/>
        </w:rPr>
        <w:t xml:space="preserve">current </w:t>
      </w:r>
      <w:r w:rsidRPr="00A55DB7">
        <w:rPr>
          <w:i/>
          <w:color w:val="000080"/>
        </w:rPr>
        <w:t xml:space="preserve">literacy programs and methods (i.e., not fully digital)? </w:t>
      </w:r>
    </w:p>
    <w:p w14:paraId="7F9DCE70" w14:textId="77777777" w:rsidR="003D244A" w:rsidRPr="001A35C4" w:rsidRDefault="003D244A" w:rsidP="003D7BFE">
      <w:pPr>
        <w:jc w:val="both"/>
        <w:rPr>
          <w:i/>
          <w:color w:val="000080"/>
        </w:rPr>
      </w:pPr>
    </w:p>
    <w:p w14:paraId="640598D2" w14:textId="77777777" w:rsidR="003D244A" w:rsidRPr="001A35C4" w:rsidRDefault="003D244A" w:rsidP="003D7BFE">
      <w:pPr>
        <w:jc w:val="both"/>
        <w:rPr>
          <w:i/>
          <w:color w:val="000080"/>
        </w:rPr>
      </w:pPr>
      <w:r w:rsidRPr="001A35C4">
        <w:rPr>
          <w:i/>
          <w:color w:val="000080"/>
        </w:rPr>
        <w:t xml:space="preserve">RQ3. Do students receiving iLit instruction demonstrate positive attitudes toward reading and literacy instruction?  </w:t>
      </w:r>
    </w:p>
    <w:p w14:paraId="45C48D20" w14:textId="77777777" w:rsidR="003D244A" w:rsidRPr="001A35C4" w:rsidRDefault="003D244A" w:rsidP="003D7BFE">
      <w:pPr>
        <w:jc w:val="both"/>
        <w:rPr>
          <w:i/>
          <w:color w:val="000080"/>
        </w:rPr>
      </w:pPr>
    </w:p>
    <w:p w14:paraId="2066E07D" w14:textId="77777777" w:rsidR="003D244A" w:rsidRPr="001A35C4" w:rsidRDefault="003D244A" w:rsidP="003D7BFE">
      <w:pPr>
        <w:jc w:val="both"/>
        <w:rPr>
          <w:i/>
          <w:color w:val="000080"/>
        </w:rPr>
      </w:pPr>
      <w:r w:rsidRPr="001A35C4">
        <w:rPr>
          <w:i/>
          <w:color w:val="000080"/>
        </w:rPr>
        <w:t>RQ4. How are teachers implementing the iLit program and how can this information inform program revisions and best practice?</w:t>
      </w:r>
    </w:p>
    <w:p w14:paraId="25BEE96A" w14:textId="77777777" w:rsidR="003D244A" w:rsidRPr="001A35C4" w:rsidRDefault="003D244A" w:rsidP="003D7BFE">
      <w:pPr>
        <w:jc w:val="both"/>
        <w:rPr>
          <w:i/>
          <w:color w:val="000080"/>
        </w:rPr>
      </w:pPr>
    </w:p>
    <w:p w14:paraId="280D3E5B" w14:textId="77777777" w:rsidR="003D244A" w:rsidRPr="001A35C4" w:rsidRDefault="003D244A" w:rsidP="003D7BFE">
      <w:pPr>
        <w:jc w:val="both"/>
        <w:rPr>
          <w:i/>
          <w:color w:val="000080"/>
        </w:rPr>
      </w:pPr>
      <w:r w:rsidRPr="001A35C4">
        <w:rPr>
          <w:i/>
          <w:color w:val="000080"/>
        </w:rPr>
        <w:t xml:space="preserve">RQ5: How did teachers and students react to the iLit program?  </w:t>
      </w:r>
    </w:p>
    <w:p w14:paraId="1F1E0167" w14:textId="77777777" w:rsidR="002C0044" w:rsidRPr="001A35C4" w:rsidRDefault="002C0044" w:rsidP="002C0044">
      <w:pPr>
        <w:autoSpaceDE w:val="0"/>
        <w:autoSpaceDN w:val="0"/>
        <w:adjustRightInd w:val="0"/>
        <w:rPr>
          <w:b/>
          <w:color w:val="FFFF99"/>
        </w:rPr>
        <w:sectPr w:rsidR="002C0044" w:rsidRPr="001A35C4" w:rsidSect="002C0044">
          <w:footerReference w:type="default" r:id="rId15"/>
          <w:pgSz w:w="12240" w:h="15840" w:code="1"/>
          <w:pgMar w:top="1267" w:right="1440" w:bottom="547" w:left="1440" w:header="720" w:footer="720" w:gutter="0"/>
          <w:pgNumType w:start="1"/>
          <w:cols w:space="720"/>
          <w:noEndnote/>
          <w:docGrid w:linePitch="326"/>
        </w:sectPr>
      </w:pPr>
    </w:p>
    <w:p w14:paraId="5D2885D0" w14:textId="77777777" w:rsidR="0068733E" w:rsidRDefault="0068733E">
      <w:pPr>
        <w:rPr>
          <w:b/>
          <w:color w:val="FFFF99"/>
          <w:sz w:val="8"/>
          <w:szCs w:val="8"/>
        </w:rPr>
      </w:pPr>
    </w:p>
    <w:p w14:paraId="76A25BA5"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highlight w:val="darkBlue"/>
        </w:rPr>
        <w:t xml:space="preserve">  </w:t>
      </w:r>
    </w:p>
    <w:p w14:paraId="4DA2B609" w14:textId="77777777" w:rsidR="003D244A" w:rsidRDefault="003D244A" w:rsidP="003D7BFE">
      <w:pPr>
        <w:rPr>
          <w:color w:val="000080"/>
          <w:sz w:val="28"/>
          <w:szCs w:val="28"/>
        </w:rPr>
      </w:pPr>
      <w:r>
        <w:rPr>
          <w:b/>
          <w:color w:val="000080"/>
          <w:sz w:val="28"/>
          <w:szCs w:val="28"/>
        </w:rPr>
        <w:t xml:space="preserve">                                                II. METHODOLOGY</w:t>
      </w:r>
      <w:r>
        <w:rPr>
          <w:b/>
          <w:color w:val="000080"/>
          <w:sz w:val="28"/>
          <w:szCs w:val="28"/>
        </w:rPr>
        <w:tab/>
      </w:r>
      <w:r>
        <w:rPr>
          <w:b/>
          <w:color w:val="000080"/>
          <w:sz w:val="28"/>
          <w:szCs w:val="28"/>
        </w:rPr>
        <w:tab/>
      </w:r>
      <w:r>
        <w:rPr>
          <w:b/>
          <w:color w:val="000080"/>
          <w:sz w:val="28"/>
          <w:szCs w:val="28"/>
        </w:rPr>
        <w:tab/>
      </w:r>
      <w:r>
        <w:rPr>
          <w:b/>
          <w:color w:val="000080"/>
          <w:sz w:val="28"/>
          <w:szCs w:val="28"/>
        </w:rPr>
        <w:tab/>
      </w:r>
      <w:r>
        <w:rPr>
          <w:b/>
          <w:color w:val="000080"/>
          <w:sz w:val="28"/>
          <w:szCs w:val="28"/>
        </w:rPr>
        <w:tab/>
      </w:r>
    </w:p>
    <w:p w14:paraId="762E6317"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6C9C51CE" w14:textId="77777777" w:rsidR="003D244A" w:rsidRDefault="003D244A" w:rsidP="003D7BFE">
      <w:pPr>
        <w:jc w:val="both"/>
        <w:rPr>
          <w:color w:val="000000"/>
        </w:rPr>
      </w:pPr>
    </w:p>
    <w:p w14:paraId="43FB2DC4" w14:textId="77777777" w:rsidR="003D244A" w:rsidRDefault="003D244A" w:rsidP="003D7BFE">
      <w:pPr>
        <w:jc w:val="both"/>
        <w:rPr>
          <w:b/>
          <w:i/>
          <w:color w:val="000080"/>
          <w:sz w:val="28"/>
          <w:szCs w:val="28"/>
        </w:rPr>
      </w:pPr>
      <w:r>
        <w:rPr>
          <w:b/>
          <w:i/>
          <w:color w:val="000080"/>
          <w:sz w:val="28"/>
          <w:szCs w:val="28"/>
        </w:rPr>
        <w:t>The iLit efficacy study employed a two-group, randomiz</w:t>
      </w:r>
      <w:r w:rsidR="003F72A6">
        <w:rPr>
          <w:b/>
          <w:i/>
          <w:color w:val="000080"/>
          <w:sz w:val="28"/>
          <w:szCs w:val="28"/>
        </w:rPr>
        <w:t>ed design.  iLit students</w:t>
      </w:r>
      <w:r w:rsidR="00DD2CCD">
        <w:rPr>
          <w:b/>
          <w:i/>
          <w:color w:val="000080"/>
          <w:sz w:val="28"/>
          <w:szCs w:val="28"/>
        </w:rPr>
        <w:t xml:space="preserve"> receive</w:t>
      </w:r>
      <w:r w:rsidR="003F72A6">
        <w:rPr>
          <w:b/>
          <w:i/>
          <w:color w:val="000080"/>
          <w:sz w:val="28"/>
          <w:szCs w:val="28"/>
        </w:rPr>
        <w:t>d</w:t>
      </w:r>
      <w:r w:rsidR="00DD2CCD">
        <w:rPr>
          <w:b/>
          <w:i/>
          <w:color w:val="000080"/>
          <w:sz w:val="28"/>
          <w:szCs w:val="28"/>
        </w:rPr>
        <w:t xml:space="preserve"> the program for literacy</w:t>
      </w:r>
      <w:r>
        <w:rPr>
          <w:b/>
          <w:i/>
          <w:color w:val="000080"/>
          <w:sz w:val="28"/>
          <w:szCs w:val="28"/>
        </w:rPr>
        <w:t xml:space="preserve"> instruction during two straight school years while students in the comparison classrooms are to receive instruction from </w:t>
      </w:r>
      <w:r w:rsidR="00773B65">
        <w:rPr>
          <w:b/>
          <w:i/>
          <w:color w:val="000080"/>
          <w:sz w:val="28"/>
          <w:szCs w:val="28"/>
        </w:rPr>
        <w:t>their current</w:t>
      </w:r>
      <w:r>
        <w:rPr>
          <w:b/>
          <w:i/>
          <w:color w:val="000080"/>
          <w:sz w:val="28"/>
          <w:szCs w:val="28"/>
        </w:rPr>
        <w:t xml:space="preserve"> materials and methods preferred by their classroom teachers.  </w:t>
      </w:r>
    </w:p>
    <w:p w14:paraId="1617A1A1" w14:textId="77777777" w:rsidR="003D244A" w:rsidRDefault="003D244A" w:rsidP="003D7BFE">
      <w:pPr>
        <w:jc w:val="both"/>
        <w:rPr>
          <w:color w:val="000000"/>
        </w:rPr>
      </w:pPr>
    </w:p>
    <w:p w14:paraId="23A066C5" w14:textId="77777777" w:rsidR="005802EE" w:rsidRDefault="003D244A" w:rsidP="005802EE">
      <w:pPr>
        <w:jc w:val="both"/>
      </w:pPr>
      <w:r>
        <w:t xml:space="preserve">The </w:t>
      </w:r>
      <w:r>
        <w:rPr>
          <w:color w:val="000000"/>
        </w:rPr>
        <w:t xml:space="preserve">program was evaluated via a two-group randomized, </w:t>
      </w:r>
      <w:r>
        <w:t>baseline to post observation assessment, research design.  Below grade level 7</w:t>
      </w:r>
      <w:r>
        <w:rPr>
          <w:vertAlign w:val="superscript"/>
        </w:rPr>
        <w:t>th</w:t>
      </w:r>
      <w:r>
        <w:t xml:space="preserve"> g</w:t>
      </w:r>
      <w:r w:rsidR="005E7D5A">
        <w:t>rade English Language Arts</w:t>
      </w:r>
      <w:r>
        <w:t xml:space="preserve"> students were identified at each school and became a potential study participant.  All potential </w:t>
      </w:r>
      <w:r>
        <w:rPr>
          <w:color w:val="000000"/>
        </w:rPr>
        <w:t>7</w:t>
      </w:r>
      <w:r>
        <w:rPr>
          <w:color w:val="000000"/>
          <w:vertAlign w:val="superscript"/>
        </w:rPr>
        <w:t>th</w:t>
      </w:r>
      <w:r>
        <w:t xml:space="preserve"> grade study students were then </w:t>
      </w:r>
      <w:r>
        <w:rPr>
          <w:color w:val="000000"/>
        </w:rPr>
        <w:t xml:space="preserve">randomly assigned to </w:t>
      </w:r>
      <w:r>
        <w:t xml:space="preserve">one of the two study conditions (i.e., comparison or iLit) prior to the start of the 2013-14 school year. </w:t>
      </w:r>
      <w:r w:rsidR="005802EE">
        <w:t xml:space="preserve"> </w:t>
      </w:r>
      <w:r w:rsidR="005802EE" w:rsidRPr="005E716D">
        <w:t xml:space="preserve">Each school and its teachers decided which among them was best suited to be the iLit and or comparison teacher(s) for that school.  </w:t>
      </w:r>
    </w:p>
    <w:p w14:paraId="5B935FC4" w14:textId="77777777" w:rsidR="003D244A" w:rsidRDefault="003D244A" w:rsidP="003D7BFE">
      <w:pPr>
        <w:jc w:val="both"/>
      </w:pPr>
    </w:p>
    <w:p w14:paraId="3FCDD7FE" w14:textId="77777777" w:rsidR="003D244A" w:rsidRDefault="003D244A" w:rsidP="003D7BFE">
      <w:pPr>
        <w:jc w:val="both"/>
        <w:rPr>
          <w:color w:val="000000"/>
        </w:rPr>
      </w:pPr>
      <w:r>
        <w:rPr>
          <w:color w:val="000000"/>
        </w:rPr>
        <w:t>Students in iLit classro</w:t>
      </w:r>
      <w:r w:rsidR="00DD2CCD">
        <w:rPr>
          <w:color w:val="000000"/>
        </w:rPr>
        <w:t>oms received the program for literacy</w:t>
      </w:r>
      <w:r>
        <w:rPr>
          <w:color w:val="000000"/>
        </w:rPr>
        <w:t xml:space="preserve"> instruction during the 2013-14 </w:t>
      </w:r>
      <w:r w:rsidR="004949E0">
        <w:rPr>
          <w:color w:val="000000"/>
        </w:rPr>
        <w:t xml:space="preserve">and 2014-15 </w:t>
      </w:r>
      <w:r>
        <w:rPr>
          <w:color w:val="000000"/>
        </w:rPr>
        <w:t>school year</w:t>
      </w:r>
      <w:r w:rsidR="004949E0">
        <w:rPr>
          <w:color w:val="000000"/>
        </w:rPr>
        <w:t>s</w:t>
      </w:r>
      <w:r>
        <w:rPr>
          <w:color w:val="000000"/>
        </w:rPr>
        <w:t xml:space="preserve">.  It should be noted here that the NJ school </w:t>
      </w:r>
      <w:r>
        <w:t>did not start the iLit program until after winter break</w:t>
      </w:r>
      <w:r w:rsidR="004949E0">
        <w:t xml:space="preserve"> in 2014</w:t>
      </w:r>
      <w:r>
        <w:rPr>
          <w:color w:val="000000"/>
        </w:rPr>
        <w:t xml:space="preserve">.  Students in the comparison classrooms received </w:t>
      </w:r>
      <w:r w:rsidR="00DD2CCD">
        <w:rPr>
          <w:color w:val="000000"/>
        </w:rPr>
        <w:t>literacy</w:t>
      </w:r>
      <w:r>
        <w:t xml:space="preserve"> instruction from those materials and methods familiar to students and preferred by their teachers.  The comparison teachers did not u</w:t>
      </w:r>
      <w:r w:rsidR="00DD2CCD">
        <w:t xml:space="preserve">se, however, a fully digital </w:t>
      </w:r>
      <w:r w:rsidR="00045B64">
        <w:t xml:space="preserve">delivery </w:t>
      </w:r>
      <w:r w:rsidR="00DD2CCD">
        <w:t>literacy</w:t>
      </w:r>
      <w:r>
        <w:t xml:space="preserve"> program.</w:t>
      </w:r>
    </w:p>
    <w:p w14:paraId="56E3F36E" w14:textId="77777777" w:rsidR="00045B64" w:rsidRDefault="00045B64" w:rsidP="003D7BFE">
      <w:pPr>
        <w:jc w:val="both"/>
        <w:rPr>
          <w:highlight w:val="cyan"/>
        </w:rPr>
      </w:pPr>
    </w:p>
    <w:p w14:paraId="01FE99BB" w14:textId="77777777" w:rsidR="003D244A" w:rsidRDefault="003D244A" w:rsidP="003D7BFE">
      <w:pPr>
        <w:pStyle w:val="CM71"/>
        <w:spacing w:line="268" w:lineRule="atLeast"/>
        <w:jc w:val="both"/>
        <w:rPr>
          <w:rFonts w:ascii="Times New Roman" w:hAnsi="Times New Roman"/>
        </w:rPr>
      </w:pPr>
      <w:r>
        <w:rPr>
          <w:rFonts w:ascii="Times New Roman" w:hAnsi="Times New Roman"/>
        </w:rPr>
        <w:t xml:space="preserve">Gatti Evaluation provided participating schools all data collection materials, maintained constant communication with study participants, and followed clear data collection procedures throughout the study to ensure that both study and program implementation ran smoothly and effectively.  The following sections provide information </w:t>
      </w:r>
      <w:r w:rsidR="00045B64">
        <w:rPr>
          <w:rFonts w:ascii="Times New Roman" w:hAnsi="Times New Roman"/>
        </w:rPr>
        <w:t xml:space="preserve">on study procedures, including </w:t>
      </w:r>
      <w:r>
        <w:rPr>
          <w:rFonts w:ascii="Times New Roman" w:hAnsi="Times New Roman"/>
        </w:rPr>
        <w:t xml:space="preserve">student and teacher level data collection, site recruitment </w:t>
      </w:r>
      <w:r w:rsidR="00DD2CCD">
        <w:rPr>
          <w:rFonts w:ascii="Times New Roman" w:hAnsi="Times New Roman"/>
        </w:rPr>
        <w:t>and selection, the nature of literacy</w:t>
      </w:r>
      <w:r>
        <w:rPr>
          <w:rFonts w:ascii="Times New Roman" w:hAnsi="Times New Roman"/>
        </w:rPr>
        <w:t xml:space="preserve"> instruction at the study sites, program training and implementation, details on educational settings at each study site, demographic information for study participants, and the statistical methodologies used to analyze outcomes.  </w:t>
      </w:r>
    </w:p>
    <w:p w14:paraId="1F5C5B73" w14:textId="77777777" w:rsidR="003D244A" w:rsidRDefault="003D244A" w:rsidP="003D7BFE">
      <w:pPr>
        <w:jc w:val="both"/>
        <w:rPr>
          <w:color w:val="000000"/>
        </w:rPr>
      </w:pPr>
    </w:p>
    <w:p w14:paraId="352D0D51" w14:textId="77777777" w:rsidR="003D244A" w:rsidRDefault="003D244A" w:rsidP="003D7BFE">
      <w:pPr>
        <w:jc w:val="both"/>
        <w:rPr>
          <w:color w:val="000000"/>
        </w:rPr>
      </w:pPr>
    </w:p>
    <w:p w14:paraId="1C64B24C"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5E18C73A" w14:textId="77777777" w:rsidR="003D244A" w:rsidRDefault="003D244A" w:rsidP="003D7BFE">
      <w:pPr>
        <w:rPr>
          <w:b/>
          <w:i/>
          <w:color w:val="000080"/>
          <w:sz w:val="28"/>
          <w:szCs w:val="28"/>
          <w:shd w:val="clear" w:color="auto" w:fill="D9D9D9"/>
        </w:rPr>
      </w:pPr>
      <w:r>
        <w:rPr>
          <w:b/>
          <w:color w:val="000080"/>
          <w:sz w:val="28"/>
          <w:szCs w:val="28"/>
        </w:rPr>
        <w:t xml:space="preserve">  </w:t>
      </w:r>
      <w:r>
        <w:rPr>
          <w:b/>
          <w:i/>
          <w:color w:val="000080"/>
          <w:sz w:val="28"/>
          <w:szCs w:val="28"/>
        </w:rPr>
        <w:t>Student Outcome Measures</w:t>
      </w:r>
    </w:p>
    <w:p w14:paraId="779FF00E"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28"/>
          <w:szCs w:val="28"/>
          <w:highlight w:val="darkBlue"/>
        </w:rPr>
        <w:t xml:space="preserve">  </w:t>
      </w:r>
    </w:p>
    <w:p w14:paraId="4DC9502E" w14:textId="77777777" w:rsidR="003D244A" w:rsidRDefault="003D244A" w:rsidP="003D7BFE"/>
    <w:p w14:paraId="3F15E1BB" w14:textId="77777777" w:rsidR="003D244A" w:rsidRDefault="003D244A" w:rsidP="003D7BFE">
      <w:pPr>
        <w:jc w:val="both"/>
        <w:rPr>
          <w:b/>
          <w:i/>
          <w:color w:val="000080"/>
          <w:sz w:val="28"/>
          <w:szCs w:val="28"/>
        </w:rPr>
      </w:pPr>
      <w:r>
        <w:rPr>
          <w:b/>
          <w:i/>
          <w:color w:val="000080"/>
          <w:sz w:val="28"/>
          <w:szCs w:val="28"/>
        </w:rPr>
        <w:t>A challenging assessment battery was group administered to students to measure achievement and academic attitude growth during the school year.</w:t>
      </w:r>
      <w:r>
        <w:rPr>
          <w:b/>
          <w:i/>
          <w:color w:val="000080"/>
          <w:sz w:val="28"/>
          <w:szCs w:val="28"/>
        </w:rPr>
        <w:tab/>
      </w:r>
    </w:p>
    <w:p w14:paraId="4581A7C9" w14:textId="77777777" w:rsidR="003D244A" w:rsidRDefault="003D244A" w:rsidP="003D7BFE"/>
    <w:p w14:paraId="1A0EB698" w14:textId="77777777" w:rsidR="003D244A" w:rsidRDefault="003D244A" w:rsidP="003D7BFE">
      <w:pPr>
        <w:jc w:val="both"/>
      </w:pPr>
      <w:r>
        <w:rPr>
          <w:color w:val="000000"/>
        </w:rPr>
        <w:t xml:space="preserve">An assessment battery comprised of the </w:t>
      </w:r>
      <w:r>
        <w:rPr>
          <w:i/>
          <w:color w:val="000000"/>
        </w:rPr>
        <w:t>Group Reading Assessment and Diagnostic Evaluation</w:t>
      </w:r>
      <w:r w:rsidR="00671D36">
        <w:rPr>
          <w:color w:val="000000"/>
        </w:rPr>
        <w:t xml:space="preserve"> (GRADE) and a Literacy</w:t>
      </w:r>
      <w:r>
        <w:rPr>
          <w:color w:val="000000"/>
        </w:rPr>
        <w:t xml:space="preserve"> academic attitude survey was used to measure gains in student achievement and attit</w:t>
      </w:r>
      <w:r w:rsidR="003F0C10">
        <w:rPr>
          <w:color w:val="000000"/>
        </w:rPr>
        <w:t xml:space="preserve">ude over the course the two </w:t>
      </w:r>
      <w:r>
        <w:rPr>
          <w:color w:val="000000"/>
        </w:rPr>
        <w:t>school year</w:t>
      </w:r>
      <w:r w:rsidR="003F0C10">
        <w:rPr>
          <w:color w:val="000000"/>
        </w:rPr>
        <w:t>s</w:t>
      </w:r>
      <w:r>
        <w:rPr>
          <w:color w:val="000000"/>
        </w:rPr>
        <w:t xml:space="preserve">.  </w:t>
      </w:r>
      <w:r>
        <w:t xml:space="preserve">The assessment battery was intended to challenge the students; attempting to adequately assess baseline knowledge, while also providing room for growth as knowledge is acquired during the school year.  </w:t>
      </w:r>
      <w:r>
        <w:rPr>
          <w:color w:val="000000"/>
        </w:rPr>
        <w:t xml:space="preserve">The GRADE and </w:t>
      </w:r>
      <w:r w:rsidR="00671D36">
        <w:rPr>
          <w:color w:val="000000"/>
        </w:rPr>
        <w:t xml:space="preserve">Literacy </w:t>
      </w:r>
      <w:r>
        <w:rPr>
          <w:color w:val="000000"/>
        </w:rPr>
        <w:t>academic attitude survey were group-administer</w:t>
      </w:r>
      <w:r w:rsidR="00671D36">
        <w:rPr>
          <w:color w:val="000000"/>
        </w:rPr>
        <w:t>ed at the beginning</w:t>
      </w:r>
      <w:r>
        <w:rPr>
          <w:color w:val="000000"/>
        </w:rPr>
        <w:t xml:space="preserve"> and end of school year (i.e., within four weeks of </w:t>
      </w:r>
      <w:r w:rsidR="00671D36">
        <w:rPr>
          <w:color w:val="000000"/>
        </w:rPr>
        <w:t xml:space="preserve">start and </w:t>
      </w:r>
      <w:r>
        <w:rPr>
          <w:color w:val="000000"/>
        </w:rPr>
        <w:t>end of school</w:t>
      </w:r>
      <w:r w:rsidR="00671D36">
        <w:rPr>
          <w:color w:val="000000"/>
        </w:rPr>
        <w:t xml:space="preserve"> year</w:t>
      </w:r>
      <w:r>
        <w:rPr>
          <w:color w:val="000000"/>
        </w:rPr>
        <w:t xml:space="preserve">). </w:t>
      </w:r>
    </w:p>
    <w:p w14:paraId="417FA043" w14:textId="657091B2" w:rsidR="003D244A" w:rsidRDefault="003D244A" w:rsidP="003D7BFE">
      <w:pPr>
        <w:jc w:val="both"/>
      </w:pPr>
    </w:p>
    <w:p w14:paraId="2A924F61" w14:textId="272BD001" w:rsidR="001A1B1B" w:rsidRDefault="001A1B1B" w:rsidP="003D7BFE">
      <w:pPr>
        <w:jc w:val="both"/>
      </w:pPr>
    </w:p>
    <w:p w14:paraId="56D783D7" w14:textId="77777777" w:rsidR="001A1B1B" w:rsidRDefault="001A1B1B" w:rsidP="003D7BFE">
      <w:pPr>
        <w:jc w:val="both"/>
      </w:pPr>
    </w:p>
    <w:p w14:paraId="58340946" w14:textId="77777777" w:rsidR="003D244A" w:rsidRDefault="003D244A" w:rsidP="003D7BFE">
      <w:pPr>
        <w:jc w:val="both"/>
        <w:rPr>
          <w:b/>
          <w:i/>
          <w:color w:val="000080"/>
          <w:sz w:val="28"/>
          <w:szCs w:val="28"/>
        </w:rPr>
      </w:pPr>
      <w:r>
        <w:rPr>
          <w:b/>
          <w:i/>
          <w:color w:val="000080"/>
          <w:sz w:val="28"/>
          <w:szCs w:val="28"/>
        </w:rPr>
        <w:lastRenderedPageBreak/>
        <w:t>Group Reading Assessment and Diagnostic Evaluation (GRADE)</w:t>
      </w:r>
    </w:p>
    <w:p w14:paraId="5F54A196" w14:textId="77777777" w:rsidR="003D244A" w:rsidRDefault="003D244A" w:rsidP="003D7BFE">
      <w:pPr>
        <w:jc w:val="both"/>
      </w:pPr>
      <w:r>
        <w:t>The GRADE is a standardized, nationally norm-referenced literacy achievement test, published by Pearson Assessments.  The GRADE was constructed with all fifty states’ standards in mind, covering a wide range of content topics and skills.  The GRADE includes 9 levels that span grades K-12, each with two parallel forms</w:t>
      </w:r>
      <w:r w:rsidR="00FF25D9">
        <w:t>.</w:t>
      </w:r>
      <w:r>
        <w:t xml:space="preserve"> </w:t>
      </w:r>
      <w:r w:rsidR="00FF25D9">
        <w:t xml:space="preserve"> Level M, which is normed for 6</w:t>
      </w:r>
      <w:r w:rsidR="00FF25D9">
        <w:rPr>
          <w:vertAlign w:val="superscript"/>
        </w:rPr>
        <w:t>th</w:t>
      </w:r>
      <w:r w:rsidR="00FF25D9">
        <w:t>, 7</w:t>
      </w:r>
      <w:r w:rsidR="00FF25D9">
        <w:rPr>
          <w:vertAlign w:val="superscript"/>
        </w:rPr>
        <w:t>th</w:t>
      </w:r>
      <w:r w:rsidR="00FF25D9">
        <w:t>, and 8</w:t>
      </w:r>
      <w:r w:rsidR="00FF25D9">
        <w:rPr>
          <w:vertAlign w:val="superscript"/>
        </w:rPr>
        <w:t>th</w:t>
      </w:r>
      <w:r w:rsidR="00FF25D9">
        <w:t xml:space="preserve"> grade students, was administered to study students</w:t>
      </w:r>
      <w:r>
        <w:t xml:space="preserve">.  Form A was administered at baseline as well as end-of-year, while form B was administered in the middle of the school year.  The GRADE is not a timed test, but generally takes between 60 and 90 minutes to administer.  Sites returned </w:t>
      </w:r>
      <w:r>
        <w:rPr>
          <w:color w:val="000000"/>
        </w:rPr>
        <w:t xml:space="preserve">completed student tests to the site coordinators, who then shipped the tests to the research team for hand-scoring. </w:t>
      </w:r>
    </w:p>
    <w:p w14:paraId="4CC7EB8E" w14:textId="77777777" w:rsidR="003D244A" w:rsidRDefault="003D244A" w:rsidP="003D7BFE">
      <w:pPr>
        <w:jc w:val="both"/>
      </w:pPr>
    </w:p>
    <w:p w14:paraId="2CA48E4A" w14:textId="77777777" w:rsidR="003D244A" w:rsidRDefault="003D244A" w:rsidP="003D7BFE">
      <w:pPr>
        <w:jc w:val="both"/>
      </w:pPr>
      <w:r>
        <w:t xml:space="preserve">Both GRADE overall and subtest scores were reported.  The subtest scores allowed the research team to evaluate the effectiveness of the curricula on three important dimensions.  The subtests are vocabulary, comprehension (i.e., sentence and passage comprehension sub-scales), and listening comprehension. </w:t>
      </w:r>
      <w:r w:rsidR="00CA1A74">
        <w:t xml:space="preserve"> </w:t>
      </w:r>
      <w:r>
        <w:t>These subtests a</w:t>
      </w:r>
      <w:r w:rsidR="003C20B0">
        <w:t>ssess</w:t>
      </w:r>
      <w:r>
        <w:t xml:space="preserve"> students’ knowledge of word context and meaning, written language context and understanding, as well as, verbal language understanding, respectively.</w:t>
      </w:r>
      <w:r w:rsidR="00CA1A74">
        <w:t xml:space="preserve">  It should be noted that Listening Comprehension is not included in the combined Comprehension or Total GRADE score. </w:t>
      </w:r>
      <w:r>
        <w:t xml:space="preserve">  </w:t>
      </w:r>
    </w:p>
    <w:p w14:paraId="3FF36F58" w14:textId="77777777" w:rsidR="003D244A" w:rsidRDefault="003D244A" w:rsidP="003D7BFE">
      <w:pPr>
        <w:jc w:val="both"/>
      </w:pPr>
    </w:p>
    <w:p w14:paraId="7903613A" w14:textId="77777777" w:rsidR="003D244A" w:rsidRDefault="003D244A" w:rsidP="003D7BFE">
      <w:pPr>
        <w:jc w:val="both"/>
        <w:rPr>
          <w:rFonts w:ascii="Arial" w:hAnsi="Arial" w:cs="Arial"/>
          <w:b/>
          <w:i/>
          <w:color w:val="000080"/>
          <w:sz w:val="28"/>
          <w:szCs w:val="28"/>
        </w:rPr>
      </w:pPr>
      <w:r>
        <w:rPr>
          <w:b/>
          <w:i/>
          <w:color w:val="000080"/>
          <w:sz w:val="28"/>
          <w:szCs w:val="28"/>
        </w:rPr>
        <w:t>Literacy Academic Attitude and iLit Opinion Surveys</w:t>
      </w:r>
    </w:p>
    <w:p w14:paraId="11B5DB3E" w14:textId="77777777" w:rsidR="003D244A" w:rsidRDefault="003D244A" w:rsidP="003D7BFE">
      <w:pPr>
        <w:jc w:val="both"/>
      </w:pPr>
      <w:r>
        <w:rPr>
          <w:color w:val="000000"/>
        </w:rPr>
        <w:t>The reading academic attitude survey was developed by the Gatti Evaluation principal investigator.</w:t>
      </w:r>
      <w:r>
        <w:t xml:space="preserve">  Students responded to twenty self-report questions regarding general attitude, confidence, motivation, and self-perceived aptitude.  Student responses were coded as 1 for a positive response (i.e., Yes, definitely), 0 for a neutral response (i.e., Sometimes), and -1 for a negative response (i.e., No, not really).  This scoring method anchors a completely neutral student at an overall score of zero with positive total scores indicating an overall positive or more enthusiastic attitude.  </w:t>
      </w:r>
    </w:p>
    <w:p w14:paraId="08A8A607" w14:textId="77777777" w:rsidR="003D244A" w:rsidRDefault="003D244A" w:rsidP="003D7BFE">
      <w:pPr>
        <w:jc w:val="both"/>
      </w:pPr>
    </w:p>
    <w:p w14:paraId="48F61F7A" w14:textId="77777777" w:rsidR="003D244A" w:rsidRDefault="003D244A" w:rsidP="003D7BFE">
      <w:pPr>
        <w:jc w:val="both"/>
      </w:pPr>
      <w:r>
        <w:t xml:space="preserve">Lastly, students in iLit classrooms were surveyed online as to their opinions on several aspects of the </w:t>
      </w:r>
      <w:r w:rsidR="003F0C10">
        <w:t>program in the later part of both</w:t>
      </w:r>
      <w:r>
        <w:t xml:space="preserve"> school year</w:t>
      </w:r>
      <w:r w:rsidR="003F0C10">
        <w:t>s</w:t>
      </w:r>
      <w:r>
        <w:t xml:space="preserve">.  In part, students were asked three questions designed to be combined into a composite general attitude score.  Specifically, the survey asked students: did they prefer iLit to their previous English class, was English class more interesting now with iLit, and would they like to continue using iLit next school year?  As with the academic attitude survey, student responses were coded as 1 for a positive response (i.e., Yes, definitely), 0 for a neutral response (i.e., Sometimes), and -1 for a negative response (i.e., No, not really) 0 for a neutral response.  Similarly, positive total scores indicate an overall positive or more enthusiastic attitude toward the program.  </w:t>
      </w:r>
    </w:p>
    <w:p w14:paraId="2522695B" w14:textId="77777777" w:rsidR="003D244A" w:rsidRDefault="003D244A" w:rsidP="003D7BFE">
      <w:pPr>
        <w:jc w:val="both"/>
        <w:rPr>
          <w:highlight w:val="yellow"/>
        </w:rPr>
      </w:pPr>
    </w:p>
    <w:p w14:paraId="3430A053" w14:textId="77777777" w:rsidR="003D244A" w:rsidRDefault="003D244A" w:rsidP="003D7BFE">
      <w:pPr>
        <w:jc w:val="both"/>
        <w:rPr>
          <w:rFonts w:ascii="Arial" w:hAnsi="Arial" w:cs="Arial"/>
          <w:b/>
          <w:i/>
          <w:color w:val="000080"/>
          <w:sz w:val="28"/>
          <w:szCs w:val="28"/>
        </w:rPr>
      </w:pPr>
      <w:r>
        <w:rPr>
          <w:b/>
          <w:i/>
          <w:color w:val="000080"/>
          <w:sz w:val="28"/>
          <w:szCs w:val="28"/>
        </w:rPr>
        <w:t>Reliability</w:t>
      </w:r>
    </w:p>
    <w:p w14:paraId="488368F1" w14:textId="3D7EAC2F" w:rsidR="002E448B" w:rsidRDefault="00DF4401" w:rsidP="0076397D">
      <w:pPr>
        <w:jc w:val="both"/>
        <w:rPr>
          <w:color w:val="000000"/>
        </w:rPr>
      </w:pPr>
      <w:r>
        <w:t>As seen in Table 1, t</w:t>
      </w:r>
      <w:r w:rsidR="003D244A">
        <w:t xml:space="preserve">he </w:t>
      </w:r>
      <w:r w:rsidR="003D244A">
        <w:rPr>
          <w:color w:val="000000"/>
        </w:rPr>
        <w:t>estimated intraclass reliability</w:t>
      </w:r>
      <w:r w:rsidR="003D244A">
        <w:t xml:space="preserve"> from the study sample for the GRADE total scores tested highly reliable.  </w:t>
      </w:r>
      <w:r w:rsidR="003D244A" w:rsidRPr="000029F2">
        <w:rPr>
          <w:color w:val="000000"/>
        </w:rPr>
        <w:t>As would be expected, the subtests tested less reliable but reliable enough for summary statistics.  Also, scores tended to be more reliable for subsequent testing sessions as the content of the assessment became more familiar to students.  The estimated intraclass reliability for the literacy academic attitude scores tested as consistently moderate to highly reliable.  Lastly, the iLit student opinion survey tested reliable for summary statistics with an estimated 0.76 intraclass reliability.</w:t>
      </w:r>
      <w:r w:rsidR="003D244A">
        <w:rPr>
          <w:color w:val="000000"/>
        </w:rPr>
        <w:t xml:space="preserve">  </w:t>
      </w:r>
    </w:p>
    <w:p w14:paraId="3FA04929" w14:textId="7215F924" w:rsidR="00CA3571" w:rsidRDefault="00CA3571" w:rsidP="0076397D">
      <w:pPr>
        <w:jc w:val="both"/>
        <w:rPr>
          <w:color w:val="000000"/>
        </w:rPr>
      </w:pPr>
    </w:p>
    <w:p w14:paraId="5003C719" w14:textId="77777777" w:rsidR="001A1B1B" w:rsidRDefault="001A1B1B" w:rsidP="0076397D">
      <w:pPr>
        <w:jc w:val="both"/>
        <w:rPr>
          <w:color w:val="000000"/>
        </w:rPr>
      </w:pPr>
    </w:p>
    <w:p w14:paraId="745DC8C1" w14:textId="77777777" w:rsidR="00792DFF" w:rsidRDefault="00792DFF">
      <w:pPr>
        <w:rPr>
          <w:color w:val="000000"/>
        </w:rPr>
      </w:pPr>
    </w:p>
    <w:tbl>
      <w:tblPr>
        <w:tblW w:w="0" w:type="auto"/>
        <w:jc w:val="center"/>
        <w:tblLook w:val="00A0" w:firstRow="1" w:lastRow="0" w:firstColumn="1" w:lastColumn="0" w:noHBand="0" w:noVBand="0"/>
      </w:tblPr>
      <w:tblGrid>
        <w:gridCol w:w="3744"/>
        <w:gridCol w:w="987"/>
        <w:gridCol w:w="900"/>
      </w:tblGrid>
      <w:tr w:rsidR="00F905E0" w14:paraId="01BA5ACD" w14:textId="77777777" w:rsidTr="009D64A9">
        <w:trPr>
          <w:jc w:val="center"/>
        </w:trPr>
        <w:tc>
          <w:tcPr>
            <w:tcW w:w="5631" w:type="dxa"/>
            <w:gridSpan w:val="3"/>
            <w:tcBorders>
              <w:top w:val="single" w:sz="4" w:space="0" w:color="FFFFFF"/>
              <w:left w:val="nil"/>
              <w:bottom w:val="single" w:sz="4" w:space="0" w:color="FFFFFF"/>
              <w:right w:val="single" w:sz="4" w:space="0" w:color="FFFFFF"/>
            </w:tcBorders>
            <w:shd w:val="clear" w:color="auto" w:fill="548DD4"/>
          </w:tcPr>
          <w:p w14:paraId="4CEB80D5" w14:textId="77777777" w:rsidR="00F905E0" w:rsidRDefault="00F905E0" w:rsidP="00F905E0">
            <w:pPr>
              <w:spacing w:before="60" w:after="60"/>
            </w:pPr>
            <w:r w:rsidRPr="008C2E4E">
              <w:lastRenderedPageBreak/>
              <w:t>Table 1</w:t>
            </w:r>
            <w:r>
              <w:t xml:space="preserve">        </w:t>
            </w:r>
            <w:r w:rsidRPr="008C2E4E">
              <w:t>7</w:t>
            </w:r>
            <w:r w:rsidRPr="008C2E4E">
              <w:rPr>
                <w:vertAlign w:val="superscript"/>
              </w:rPr>
              <w:t>th</w:t>
            </w:r>
            <w:r w:rsidRPr="008C2E4E">
              <w:t xml:space="preserve"> Grade Scales’ Intraclass Reliability</w:t>
            </w:r>
          </w:p>
        </w:tc>
      </w:tr>
      <w:tr w:rsidR="003D244A" w14:paraId="76A51BFC" w14:textId="77777777" w:rsidTr="0075785E">
        <w:trPr>
          <w:jc w:val="center"/>
        </w:trPr>
        <w:tc>
          <w:tcPr>
            <w:tcW w:w="3744" w:type="dxa"/>
            <w:tcBorders>
              <w:top w:val="single" w:sz="4" w:space="0" w:color="FFFFFF"/>
              <w:left w:val="nil"/>
              <w:bottom w:val="single" w:sz="4" w:space="0" w:color="FFFFFF"/>
              <w:right w:val="single" w:sz="4" w:space="0" w:color="FFFFFF"/>
            </w:tcBorders>
            <w:shd w:val="clear" w:color="auto" w:fill="548DD4"/>
          </w:tcPr>
          <w:p w14:paraId="653A21C5" w14:textId="77777777" w:rsidR="003D244A" w:rsidRDefault="003D244A" w:rsidP="0075785E">
            <w:pPr>
              <w:spacing w:before="60" w:after="60" w:line="276" w:lineRule="auto"/>
              <w:jc w:val="center"/>
            </w:pPr>
            <w:r>
              <w:t>Scale</w:t>
            </w:r>
          </w:p>
        </w:tc>
        <w:tc>
          <w:tcPr>
            <w:tcW w:w="987" w:type="dxa"/>
            <w:tcBorders>
              <w:top w:val="single" w:sz="4" w:space="0" w:color="FFFFFF"/>
              <w:left w:val="single" w:sz="4" w:space="0" w:color="FFFFFF"/>
              <w:bottom w:val="single" w:sz="4" w:space="0" w:color="FFFFFF"/>
              <w:right w:val="single" w:sz="4" w:space="0" w:color="FFFFFF"/>
            </w:tcBorders>
            <w:shd w:val="clear" w:color="auto" w:fill="548DD4"/>
          </w:tcPr>
          <w:p w14:paraId="022E5E5C" w14:textId="77777777" w:rsidR="003D244A" w:rsidRDefault="003D244A" w:rsidP="0075785E">
            <w:pPr>
              <w:spacing w:before="60" w:after="60" w:line="276" w:lineRule="auto"/>
              <w:jc w:val="center"/>
            </w:pPr>
            <w:r>
              <w:t>BOY1</w:t>
            </w:r>
          </w:p>
        </w:tc>
        <w:tc>
          <w:tcPr>
            <w:tcW w:w="900" w:type="dxa"/>
            <w:tcBorders>
              <w:top w:val="single" w:sz="4" w:space="0" w:color="FFFFFF"/>
              <w:left w:val="nil"/>
              <w:bottom w:val="single" w:sz="4" w:space="0" w:color="FFFFFF"/>
              <w:right w:val="single" w:sz="4" w:space="0" w:color="FFFFFF"/>
            </w:tcBorders>
            <w:shd w:val="clear" w:color="auto" w:fill="548DD4"/>
          </w:tcPr>
          <w:p w14:paraId="47E6A718" w14:textId="77777777" w:rsidR="003D244A" w:rsidRDefault="003D244A" w:rsidP="0075785E">
            <w:pPr>
              <w:spacing w:before="60" w:after="60" w:line="276" w:lineRule="auto"/>
              <w:jc w:val="center"/>
            </w:pPr>
            <w:r>
              <w:t>EOY1</w:t>
            </w:r>
          </w:p>
        </w:tc>
      </w:tr>
      <w:tr w:rsidR="003D244A" w14:paraId="36B87CF2" w14:textId="77777777" w:rsidTr="0075785E">
        <w:trPr>
          <w:jc w:val="center"/>
        </w:trPr>
        <w:tc>
          <w:tcPr>
            <w:tcW w:w="3744" w:type="dxa"/>
            <w:tcBorders>
              <w:top w:val="single" w:sz="4" w:space="0" w:color="FFFFFF"/>
              <w:left w:val="nil"/>
              <w:bottom w:val="nil"/>
              <w:right w:val="single" w:sz="4" w:space="0" w:color="FFFFFF"/>
            </w:tcBorders>
            <w:shd w:val="clear" w:color="auto" w:fill="DBE5F1"/>
          </w:tcPr>
          <w:p w14:paraId="372F8257" w14:textId="77777777" w:rsidR="003D244A" w:rsidRDefault="003D244A" w:rsidP="0075785E">
            <w:pPr>
              <w:spacing w:before="60" w:after="60" w:line="276" w:lineRule="auto"/>
            </w:pPr>
            <w:r>
              <w:t>GRADE Total</w:t>
            </w:r>
          </w:p>
        </w:tc>
        <w:tc>
          <w:tcPr>
            <w:tcW w:w="987" w:type="dxa"/>
            <w:tcBorders>
              <w:top w:val="single" w:sz="4" w:space="0" w:color="FFFFFF"/>
              <w:left w:val="single" w:sz="4" w:space="0" w:color="FFFFFF"/>
              <w:bottom w:val="nil"/>
              <w:right w:val="single" w:sz="4" w:space="0" w:color="FFFFFF"/>
            </w:tcBorders>
            <w:shd w:val="clear" w:color="auto" w:fill="DBE5F1"/>
          </w:tcPr>
          <w:p w14:paraId="34A81DBF" w14:textId="77777777" w:rsidR="003D244A" w:rsidRDefault="003D244A" w:rsidP="0075785E">
            <w:pPr>
              <w:spacing w:before="60" w:after="60" w:line="276" w:lineRule="auto"/>
              <w:jc w:val="center"/>
            </w:pPr>
            <w:r>
              <w:t>0.89</w:t>
            </w:r>
          </w:p>
        </w:tc>
        <w:tc>
          <w:tcPr>
            <w:tcW w:w="900" w:type="dxa"/>
            <w:tcBorders>
              <w:top w:val="single" w:sz="4" w:space="0" w:color="FFFFFF"/>
              <w:left w:val="nil"/>
              <w:bottom w:val="nil"/>
              <w:right w:val="single" w:sz="4" w:space="0" w:color="FFFFFF"/>
            </w:tcBorders>
            <w:shd w:val="clear" w:color="auto" w:fill="DBE5F1"/>
          </w:tcPr>
          <w:p w14:paraId="3089EF92" w14:textId="77777777" w:rsidR="003D244A" w:rsidRDefault="003D244A" w:rsidP="0075785E">
            <w:pPr>
              <w:spacing w:before="60" w:after="60" w:line="276" w:lineRule="auto"/>
              <w:jc w:val="center"/>
            </w:pPr>
            <w:r>
              <w:t>0.91</w:t>
            </w:r>
          </w:p>
        </w:tc>
      </w:tr>
      <w:tr w:rsidR="003D244A" w14:paraId="78B78925" w14:textId="77777777" w:rsidTr="0075785E">
        <w:trPr>
          <w:jc w:val="center"/>
        </w:trPr>
        <w:tc>
          <w:tcPr>
            <w:tcW w:w="3744" w:type="dxa"/>
            <w:tcBorders>
              <w:top w:val="single" w:sz="4" w:space="0" w:color="FFFFFF"/>
              <w:left w:val="nil"/>
              <w:bottom w:val="nil"/>
              <w:right w:val="single" w:sz="4" w:space="0" w:color="FFFFFF"/>
            </w:tcBorders>
            <w:shd w:val="clear" w:color="auto" w:fill="DBE5F1"/>
          </w:tcPr>
          <w:p w14:paraId="5E9E1FA3" w14:textId="77777777" w:rsidR="003D244A" w:rsidRDefault="003D244A" w:rsidP="0075785E">
            <w:pPr>
              <w:spacing w:before="60" w:after="60" w:line="276" w:lineRule="auto"/>
            </w:pPr>
            <w:r>
              <w:t>Vocabulary</w:t>
            </w:r>
          </w:p>
        </w:tc>
        <w:tc>
          <w:tcPr>
            <w:tcW w:w="987" w:type="dxa"/>
            <w:tcBorders>
              <w:top w:val="single" w:sz="4" w:space="0" w:color="FFFFFF"/>
              <w:left w:val="single" w:sz="4" w:space="0" w:color="FFFFFF"/>
              <w:bottom w:val="nil"/>
              <w:right w:val="single" w:sz="4" w:space="0" w:color="FFFFFF"/>
            </w:tcBorders>
            <w:shd w:val="clear" w:color="auto" w:fill="DBE5F1"/>
          </w:tcPr>
          <w:p w14:paraId="7330943E" w14:textId="77777777" w:rsidR="003D244A" w:rsidRDefault="003D244A" w:rsidP="0075785E">
            <w:pPr>
              <w:spacing w:before="60" w:after="60" w:line="276" w:lineRule="auto"/>
              <w:jc w:val="center"/>
            </w:pPr>
            <w:r>
              <w:t>0.73</w:t>
            </w:r>
          </w:p>
        </w:tc>
        <w:tc>
          <w:tcPr>
            <w:tcW w:w="900" w:type="dxa"/>
            <w:tcBorders>
              <w:top w:val="single" w:sz="4" w:space="0" w:color="FFFFFF"/>
              <w:left w:val="nil"/>
              <w:bottom w:val="nil"/>
              <w:right w:val="single" w:sz="4" w:space="0" w:color="FFFFFF"/>
            </w:tcBorders>
            <w:shd w:val="clear" w:color="auto" w:fill="DBE5F1"/>
          </w:tcPr>
          <w:p w14:paraId="29B3FB2C" w14:textId="77777777" w:rsidR="003D244A" w:rsidRDefault="003D244A" w:rsidP="0075785E">
            <w:pPr>
              <w:spacing w:before="60" w:after="60" w:line="276" w:lineRule="auto"/>
              <w:jc w:val="center"/>
            </w:pPr>
            <w:r>
              <w:t>0.76</w:t>
            </w:r>
          </w:p>
        </w:tc>
      </w:tr>
      <w:tr w:rsidR="003D244A" w14:paraId="09D67B24" w14:textId="77777777" w:rsidTr="0075785E">
        <w:trPr>
          <w:jc w:val="center"/>
        </w:trPr>
        <w:tc>
          <w:tcPr>
            <w:tcW w:w="3744" w:type="dxa"/>
            <w:tcBorders>
              <w:top w:val="nil"/>
              <w:left w:val="nil"/>
              <w:bottom w:val="nil"/>
              <w:right w:val="single" w:sz="4" w:space="0" w:color="FFFFFF"/>
            </w:tcBorders>
            <w:shd w:val="clear" w:color="auto" w:fill="DBE5F1"/>
          </w:tcPr>
          <w:p w14:paraId="34153931" w14:textId="77777777" w:rsidR="003D244A" w:rsidRDefault="003D244A" w:rsidP="0075785E">
            <w:pPr>
              <w:spacing w:before="60" w:after="60" w:line="276" w:lineRule="auto"/>
            </w:pPr>
            <w:r>
              <w:t>Sentence Comprehension</w:t>
            </w:r>
          </w:p>
        </w:tc>
        <w:tc>
          <w:tcPr>
            <w:tcW w:w="987" w:type="dxa"/>
            <w:tcBorders>
              <w:top w:val="nil"/>
              <w:left w:val="single" w:sz="4" w:space="0" w:color="FFFFFF"/>
              <w:bottom w:val="nil"/>
              <w:right w:val="single" w:sz="4" w:space="0" w:color="FFFFFF"/>
            </w:tcBorders>
            <w:shd w:val="clear" w:color="auto" w:fill="DBE5F1"/>
          </w:tcPr>
          <w:p w14:paraId="2D3FE43E" w14:textId="77777777" w:rsidR="003D244A" w:rsidRDefault="003D244A" w:rsidP="0075785E">
            <w:pPr>
              <w:spacing w:before="60" w:after="60" w:line="276" w:lineRule="auto"/>
              <w:jc w:val="center"/>
            </w:pPr>
            <w:r>
              <w:t>0.76</w:t>
            </w:r>
          </w:p>
        </w:tc>
        <w:tc>
          <w:tcPr>
            <w:tcW w:w="900" w:type="dxa"/>
            <w:tcBorders>
              <w:top w:val="nil"/>
              <w:left w:val="nil"/>
              <w:bottom w:val="nil"/>
              <w:right w:val="single" w:sz="4" w:space="0" w:color="FFFFFF"/>
            </w:tcBorders>
            <w:shd w:val="clear" w:color="auto" w:fill="DBE5F1"/>
          </w:tcPr>
          <w:p w14:paraId="0723F764" w14:textId="77777777" w:rsidR="003D244A" w:rsidRDefault="003D244A" w:rsidP="0075785E">
            <w:pPr>
              <w:spacing w:before="60" w:after="60" w:line="276" w:lineRule="auto"/>
              <w:jc w:val="center"/>
            </w:pPr>
            <w:r>
              <w:t>0.82</w:t>
            </w:r>
          </w:p>
        </w:tc>
      </w:tr>
      <w:tr w:rsidR="003D244A" w14:paraId="2311C978" w14:textId="77777777" w:rsidTr="0075785E">
        <w:trPr>
          <w:jc w:val="center"/>
        </w:trPr>
        <w:tc>
          <w:tcPr>
            <w:tcW w:w="3744" w:type="dxa"/>
            <w:tcBorders>
              <w:top w:val="nil"/>
              <w:left w:val="nil"/>
              <w:bottom w:val="single" w:sz="4" w:space="0" w:color="FFFFFF"/>
              <w:right w:val="single" w:sz="4" w:space="0" w:color="FFFFFF"/>
            </w:tcBorders>
            <w:shd w:val="clear" w:color="auto" w:fill="DBE5F1"/>
          </w:tcPr>
          <w:p w14:paraId="043ED652" w14:textId="77777777" w:rsidR="003D244A" w:rsidRDefault="003D244A" w:rsidP="0075785E">
            <w:pPr>
              <w:spacing w:before="60" w:after="60" w:line="276" w:lineRule="auto"/>
            </w:pPr>
            <w:r>
              <w:t>Passage Comprehension</w:t>
            </w:r>
          </w:p>
        </w:tc>
        <w:tc>
          <w:tcPr>
            <w:tcW w:w="987" w:type="dxa"/>
            <w:tcBorders>
              <w:top w:val="nil"/>
              <w:left w:val="single" w:sz="4" w:space="0" w:color="FFFFFF"/>
              <w:bottom w:val="single" w:sz="4" w:space="0" w:color="FFFFFF"/>
              <w:right w:val="single" w:sz="4" w:space="0" w:color="FFFFFF"/>
            </w:tcBorders>
            <w:shd w:val="clear" w:color="auto" w:fill="DBE5F1"/>
          </w:tcPr>
          <w:p w14:paraId="79B0AAC7" w14:textId="77777777" w:rsidR="003D244A" w:rsidRDefault="003D244A" w:rsidP="0075785E">
            <w:pPr>
              <w:spacing w:before="60" w:after="60" w:line="276" w:lineRule="auto"/>
              <w:jc w:val="center"/>
            </w:pPr>
            <w:r>
              <w:t>0.81</w:t>
            </w:r>
          </w:p>
        </w:tc>
        <w:tc>
          <w:tcPr>
            <w:tcW w:w="900" w:type="dxa"/>
            <w:tcBorders>
              <w:top w:val="nil"/>
              <w:left w:val="nil"/>
              <w:bottom w:val="single" w:sz="4" w:space="0" w:color="FFFFFF"/>
              <w:right w:val="single" w:sz="4" w:space="0" w:color="FFFFFF"/>
            </w:tcBorders>
            <w:shd w:val="clear" w:color="auto" w:fill="DBE5F1"/>
          </w:tcPr>
          <w:p w14:paraId="09948DD5" w14:textId="77777777" w:rsidR="003D244A" w:rsidRDefault="003D244A" w:rsidP="0075785E">
            <w:pPr>
              <w:spacing w:before="60" w:after="60" w:line="276" w:lineRule="auto"/>
              <w:jc w:val="center"/>
            </w:pPr>
            <w:r>
              <w:t>0.84</w:t>
            </w:r>
          </w:p>
        </w:tc>
      </w:tr>
      <w:tr w:rsidR="003D244A" w14:paraId="67FFFE83" w14:textId="77777777" w:rsidTr="0075785E">
        <w:trPr>
          <w:jc w:val="center"/>
        </w:trPr>
        <w:tc>
          <w:tcPr>
            <w:tcW w:w="3744" w:type="dxa"/>
            <w:tcBorders>
              <w:top w:val="single" w:sz="4" w:space="0" w:color="FFFFFF"/>
              <w:left w:val="nil"/>
              <w:bottom w:val="single" w:sz="4" w:space="0" w:color="FFFFFF"/>
              <w:right w:val="single" w:sz="4" w:space="0" w:color="FFFFFF"/>
            </w:tcBorders>
            <w:shd w:val="clear" w:color="auto" w:fill="DBE5F1"/>
          </w:tcPr>
          <w:p w14:paraId="7C6AD70F" w14:textId="77777777" w:rsidR="003D244A" w:rsidRDefault="003D244A" w:rsidP="0075785E">
            <w:pPr>
              <w:spacing w:before="60" w:after="60" w:line="276" w:lineRule="auto"/>
            </w:pPr>
            <w:r>
              <w:t>Listening Comprehension</w:t>
            </w:r>
          </w:p>
        </w:tc>
        <w:tc>
          <w:tcPr>
            <w:tcW w:w="987" w:type="dxa"/>
            <w:tcBorders>
              <w:top w:val="single" w:sz="4" w:space="0" w:color="FFFFFF"/>
              <w:left w:val="single" w:sz="4" w:space="0" w:color="FFFFFF"/>
              <w:bottom w:val="single" w:sz="4" w:space="0" w:color="FFFFFF"/>
              <w:right w:val="single" w:sz="4" w:space="0" w:color="FFFFFF"/>
            </w:tcBorders>
            <w:shd w:val="clear" w:color="auto" w:fill="DBE5F1"/>
          </w:tcPr>
          <w:p w14:paraId="29C94BD1" w14:textId="77777777" w:rsidR="003D244A" w:rsidRDefault="003D244A" w:rsidP="0075785E">
            <w:pPr>
              <w:spacing w:before="60" w:after="60" w:line="276" w:lineRule="auto"/>
              <w:jc w:val="center"/>
            </w:pPr>
            <w:r>
              <w:t>0.54</w:t>
            </w:r>
          </w:p>
        </w:tc>
        <w:tc>
          <w:tcPr>
            <w:tcW w:w="900" w:type="dxa"/>
            <w:tcBorders>
              <w:top w:val="single" w:sz="4" w:space="0" w:color="FFFFFF"/>
              <w:left w:val="nil"/>
              <w:bottom w:val="single" w:sz="4" w:space="0" w:color="FFFFFF"/>
              <w:right w:val="single" w:sz="4" w:space="0" w:color="FFFFFF"/>
            </w:tcBorders>
            <w:shd w:val="clear" w:color="auto" w:fill="DBE5F1"/>
          </w:tcPr>
          <w:p w14:paraId="2A6E6406" w14:textId="77777777" w:rsidR="003D244A" w:rsidRDefault="003D244A" w:rsidP="0075785E">
            <w:pPr>
              <w:spacing w:before="60" w:after="60" w:line="276" w:lineRule="auto"/>
              <w:jc w:val="center"/>
            </w:pPr>
            <w:r>
              <w:t>0.55</w:t>
            </w:r>
          </w:p>
        </w:tc>
      </w:tr>
      <w:tr w:rsidR="003D244A" w14:paraId="1D4136F5" w14:textId="77777777" w:rsidTr="0075785E">
        <w:trPr>
          <w:jc w:val="center"/>
        </w:trPr>
        <w:tc>
          <w:tcPr>
            <w:tcW w:w="3744" w:type="dxa"/>
            <w:tcBorders>
              <w:top w:val="single" w:sz="4" w:space="0" w:color="FFFFFF"/>
              <w:left w:val="nil"/>
              <w:bottom w:val="single" w:sz="4" w:space="0" w:color="FFFFFF"/>
              <w:right w:val="single" w:sz="4" w:space="0" w:color="FFFFFF"/>
            </w:tcBorders>
            <w:shd w:val="clear" w:color="auto" w:fill="DBE5F1"/>
          </w:tcPr>
          <w:p w14:paraId="62D3DA9A" w14:textId="77777777" w:rsidR="003D244A" w:rsidRDefault="003D244A" w:rsidP="0075785E">
            <w:pPr>
              <w:spacing w:before="60" w:after="60" w:line="276" w:lineRule="auto"/>
            </w:pPr>
            <w:r>
              <w:t>Literacy Academic Attitude Survey</w:t>
            </w:r>
          </w:p>
        </w:tc>
        <w:tc>
          <w:tcPr>
            <w:tcW w:w="987" w:type="dxa"/>
            <w:tcBorders>
              <w:top w:val="single" w:sz="4" w:space="0" w:color="FFFFFF"/>
              <w:left w:val="single" w:sz="4" w:space="0" w:color="FFFFFF"/>
              <w:bottom w:val="single" w:sz="4" w:space="0" w:color="FFFFFF"/>
              <w:right w:val="single" w:sz="4" w:space="0" w:color="FFFFFF"/>
            </w:tcBorders>
            <w:shd w:val="clear" w:color="auto" w:fill="DBE5F1"/>
          </w:tcPr>
          <w:p w14:paraId="74763F2D" w14:textId="77777777" w:rsidR="003D244A" w:rsidRDefault="003D244A" w:rsidP="0075785E">
            <w:pPr>
              <w:spacing w:before="60" w:after="60" w:line="276" w:lineRule="auto"/>
              <w:jc w:val="center"/>
            </w:pPr>
            <w:r>
              <w:t>0.76</w:t>
            </w:r>
          </w:p>
        </w:tc>
        <w:tc>
          <w:tcPr>
            <w:tcW w:w="900" w:type="dxa"/>
            <w:tcBorders>
              <w:top w:val="single" w:sz="4" w:space="0" w:color="FFFFFF"/>
              <w:left w:val="nil"/>
              <w:bottom w:val="single" w:sz="4" w:space="0" w:color="FFFFFF"/>
              <w:right w:val="single" w:sz="4" w:space="0" w:color="FFFFFF"/>
            </w:tcBorders>
            <w:shd w:val="clear" w:color="auto" w:fill="DBE5F1"/>
          </w:tcPr>
          <w:p w14:paraId="77629D80" w14:textId="77777777" w:rsidR="003D244A" w:rsidRDefault="003D244A" w:rsidP="0075785E">
            <w:pPr>
              <w:spacing w:before="60" w:after="60" w:line="276" w:lineRule="auto"/>
              <w:jc w:val="center"/>
            </w:pPr>
            <w:r>
              <w:t>0.77</w:t>
            </w:r>
          </w:p>
        </w:tc>
      </w:tr>
      <w:tr w:rsidR="006E34BC" w14:paraId="31801B2A" w14:textId="77777777" w:rsidTr="0075785E">
        <w:trPr>
          <w:jc w:val="center"/>
        </w:trPr>
        <w:tc>
          <w:tcPr>
            <w:tcW w:w="3744" w:type="dxa"/>
            <w:tcBorders>
              <w:top w:val="single" w:sz="4" w:space="0" w:color="FFFFFF"/>
              <w:left w:val="nil"/>
              <w:bottom w:val="single" w:sz="4" w:space="0" w:color="FFFFFF"/>
              <w:right w:val="single" w:sz="4" w:space="0" w:color="FFFFFF"/>
            </w:tcBorders>
            <w:shd w:val="clear" w:color="auto" w:fill="DBE5F1"/>
          </w:tcPr>
          <w:p w14:paraId="69E6076E" w14:textId="77777777" w:rsidR="006E34BC" w:rsidRDefault="006E34BC" w:rsidP="0075785E">
            <w:pPr>
              <w:spacing w:before="60" w:after="60" w:line="276" w:lineRule="auto"/>
            </w:pPr>
            <w:r>
              <w:t>iLit Student Opinion Survey</w:t>
            </w:r>
          </w:p>
        </w:tc>
        <w:tc>
          <w:tcPr>
            <w:tcW w:w="987" w:type="dxa"/>
            <w:tcBorders>
              <w:top w:val="single" w:sz="4" w:space="0" w:color="FFFFFF"/>
              <w:left w:val="single" w:sz="4" w:space="0" w:color="FFFFFF"/>
              <w:bottom w:val="single" w:sz="4" w:space="0" w:color="FFFFFF"/>
              <w:right w:val="single" w:sz="4" w:space="0" w:color="FFFFFF"/>
            </w:tcBorders>
            <w:shd w:val="clear" w:color="auto" w:fill="DBE5F1"/>
          </w:tcPr>
          <w:p w14:paraId="38B7EA2B" w14:textId="77777777" w:rsidR="006E34BC" w:rsidRDefault="006E34BC" w:rsidP="0075785E">
            <w:pPr>
              <w:spacing w:before="60" w:after="60" w:line="276" w:lineRule="auto"/>
              <w:jc w:val="center"/>
            </w:pPr>
          </w:p>
        </w:tc>
        <w:tc>
          <w:tcPr>
            <w:tcW w:w="900" w:type="dxa"/>
            <w:tcBorders>
              <w:top w:val="single" w:sz="4" w:space="0" w:color="FFFFFF"/>
              <w:left w:val="nil"/>
              <w:bottom w:val="single" w:sz="4" w:space="0" w:color="FFFFFF"/>
              <w:right w:val="single" w:sz="4" w:space="0" w:color="FFFFFF"/>
            </w:tcBorders>
            <w:shd w:val="clear" w:color="auto" w:fill="DBE5F1"/>
          </w:tcPr>
          <w:p w14:paraId="029F39FC" w14:textId="77777777" w:rsidR="006E34BC" w:rsidRDefault="006E34BC" w:rsidP="0075785E">
            <w:pPr>
              <w:spacing w:before="60" w:after="60" w:line="276" w:lineRule="auto"/>
              <w:jc w:val="center"/>
            </w:pPr>
            <w:r>
              <w:t>0.76</w:t>
            </w:r>
          </w:p>
        </w:tc>
      </w:tr>
    </w:tbl>
    <w:p w14:paraId="1A9EF0F4" w14:textId="77777777" w:rsidR="003D244A" w:rsidRDefault="003D244A" w:rsidP="003D7BFE">
      <w:pPr>
        <w:jc w:val="both"/>
        <w:rPr>
          <w:highlight w:val="yellow"/>
        </w:rPr>
      </w:pPr>
    </w:p>
    <w:p w14:paraId="5E8E9130" w14:textId="77777777" w:rsidR="003D244A" w:rsidRDefault="003D244A" w:rsidP="003D7BFE">
      <w:pPr>
        <w:jc w:val="both"/>
        <w:rPr>
          <w:highlight w:val="yellow"/>
        </w:rPr>
      </w:pPr>
    </w:p>
    <w:p w14:paraId="1E64C265"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1A825C02" w14:textId="77777777" w:rsidR="003D244A" w:rsidRDefault="003D244A" w:rsidP="003D7BFE">
      <w:pPr>
        <w:rPr>
          <w:b/>
          <w:i/>
          <w:color w:val="000080"/>
          <w:sz w:val="28"/>
          <w:szCs w:val="28"/>
        </w:rPr>
      </w:pPr>
      <w:r>
        <w:rPr>
          <w:b/>
          <w:i/>
          <w:color w:val="000080"/>
          <w:sz w:val="28"/>
          <w:szCs w:val="28"/>
        </w:rPr>
        <w:t xml:space="preserve">  Teacher Measures   </w:t>
      </w:r>
    </w:p>
    <w:p w14:paraId="16107EDD"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11DF985D" w14:textId="77777777" w:rsidR="003D244A" w:rsidRDefault="003D244A" w:rsidP="003D7BFE">
      <w:pPr>
        <w:rPr>
          <w:color w:val="000000"/>
        </w:rPr>
      </w:pPr>
    </w:p>
    <w:p w14:paraId="49E4E47A" w14:textId="77777777" w:rsidR="003D244A" w:rsidRDefault="003D244A" w:rsidP="003D7BFE">
      <w:pPr>
        <w:jc w:val="both"/>
        <w:rPr>
          <w:color w:val="000000"/>
        </w:rPr>
      </w:pPr>
      <w:r>
        <w:rPr>
          <w:color w:val="000000"/>
        </w:rPr>
        <w:t xml:space="preserve">In addition to the assessment battery, qualitative data collection methods were also employed.  </w:t>
      </w:r>
      <w:r>
        <w:t xml:space="preserve">The research team collected qualitative data through self-report teacher logs and classroom observations, as well as teacher interviews and focus groups.  </w:t>
      </w:r>
      <w:r>
        <w:rPr>
          <w:color w:val="000000"/>
        </w:rPr>
        <w:t xml:space="preserve">The data was compiled and content analyzed to examine teacher attitudes, pedagogy and performance, as well as to illuminate the various ways teachers and students interact with the iLit program.  </w:t>
      </w:r>
      <w:r>
        <w:t xml:space="preserve">The teacher and classroom data also increased the validity of the research findings by verifying results through multiple data collection methods, by adding context to the achievement results through reporting the perspectives of various study participants, and by collecting data throughout the project period.  </w:t>
      </w:r>
      <w:r>
        <w:rPr>
          <w:color w:val="000000"/>
        </w:rPr>
        <w:t xml:space="preserve">Continuous monitoring of the study sites was of immense importance, and teachers were routinely asked to share their opinions and concerns throughout the school year. </w:t>
      </w:r>
    </w:p>
    <w:p w14:paraId="6D1DFB1A" w14:textId="77777777" w:rsidR="003D244A" w:rsidRDefault="003D244A" w:rsidP="003D7BFE">
      <w:pPr>
        <w:jc w:val="both"/>
        <w:rPr>
          <w:color w:val="000000"/>
        </w:rPr>
      </w:pPr>
    </w:p>
    <w:p w14:paraId="32370C08" w14:textId="77777777" w:rsidR="003D244A" w:rsidRDefault="003D244A" w:rsidP="003D7BFE">
      <w:pPr>
        <w:jc w:val="both"/>
      </w:pPr>
      <w:r>
        <w:rPr>
          <w:b/>
          <w:i/>
          <w:color w:val="000080"/>
          <w:sz w:val="28"/>
          <w:szCs w:val="28"/>
        </w:rPr>
        <w:t xml:space="preserve">The research team collected achievement, attitudinal, as well as, observational and self-report data making the study both quantitative and qualitative in nature.  </w:t>
      </w:r>
    </w:p>
    <w:p w14:paraId="04D564DA" w14:textId="77777777" w:rsidR="003D244A" w:rsidRDefault="003D244A" w:rsidP="003D7BFE">
      <w:pPr>
        <w:jc w:val="both"/>
      </w:pPr>
    </w:p>
    <w:p w14:paraId="098ABFCA" w14:textId="77777777" w:rsidR="003D244A" w:rsidRDefault="003D244A" w:rsidP="003D7BFE">
      <w:pPr>
        <w:rPr>
          <w:b/>
          <w:i/>
          <w:color w:val="000080"/>
          <w:sz w:val="28"/>
          <w:szCs w:val="28"/>
        </w:rPr>
      </w:pPr>
      <w:r>
        <w:rPr>
          <w:b/>
          <w:i/>
          <w:color w:val="000080"/>
          <w:sz w:val="28"/>
          <w:szCs w:val="28"/>
        </w:rPr>
        <w:t xml:space="preserve">Weekly Teacher Logs  </w:t>
      </w:r>
    </w:p>
    <w:p w14:paraId="2AEC4B87" w14:textId="77777777" w:rsidR="003D244A" w:rsidRDefault="003D244A" w:rsidP="003D7BFE">
      <w:pPr>
        <w:jc w:val="both"/>
      </w:pPr>
      <w:r>
        <w:rPr>
          <w:color w:val="000000"/>
        </w:rPr>
        <w:t>All study teachers were required to complete weekly self-report online logs</w:t>
      </w:r>
      <w:r>
        <w:t xml:space="preserve"> </w:t>
      </w:r>
      <w:r>
        <w:rPr>
          <w:color w:val="000000"/>
        </w:rPr>
        <w:t>in which they described their English language arts lessons.  I</w:t>
      </w:r>
      <w:r>
        <w:t xml:space="preserve">nformation from the weekly logs was important for two reasons; to guarantee iLit </w:t>
      </w:r>
      <w:r>
        <w:rPr>
          <w:color w:val="000000"/>
        </w:rPr>
        <w:t>teachers fully and regularly utilized all key components of the program in an attempt to</w:t>
      </w:r>
      <w:r>
        <w:t xml:space="preserve"> positively influence student achievement, and to document the instructional model utilized by each study teacher, including classroom environment, teaching style, pacing, content, and methods.  The information in these logs was checked each week, and the project manager asked teachers for clarification when necessary.</w:t>
      </w:r>
    </w:p>
    <w:p w14:paraId="461A34C9" w14:textId="77777777" w:rsidR="003D244A" w:rsidRDefault="003D244A" w:rsidP="003D7BFE">
      <w:pPr>
        <w:jc w:val="both"/>
      </w:pPr>
    </w:p>
    <w:p w14:paraId="7667EC71" w14:textId="77777777" w:rsidR="003D244A" w:rsidRDefault="003D244A" w:rsidP="003D7BFE">
      <w:pPr>
        <w:jc w:val="both"/>
      </w:pPr>
      <w:r>
        <w:t xml:space="preserve">Teachers were asked not to spend more than 15 minutes per week completing the logs.  It is clear some teachers spent more time, however, as many of the logs were returned with detailed comments.  Teachers often shared candid weekly experiences with the project manager and were typically happy to provide documentation describing weekly instruction and learning experiences related to the program.  </w:t>
      </w:r>
    </w:p>
    <w:p w14:paraId="0BE69AB3" w14:textId="77777777" w:rsidR="005D7A6E" w:rsidRDefault="005D7A6E" w:rsidP="003D7BFE">
      <w:pPr>
        <w:jc w:val="both"/>
      </w:pPr>
    </w:p>
    <w:p w14:paraId="28C96B05" w14:textId="77777777" w:rsidR="003D244A" w:rsidRDefault="003D244A" w:rsidP="003D7BFE">
      <w:pPr>
        <w:rPr>
          <w:b/>
          <w:i/>
          <w:color w:val="000080"/>
          <w:sz w:val="28"/>
          <w:szCs w:val="28"/>
        </w:rPr>
      </w:pPr>
      <w:r>
        <w:rPr>
          <w:b/>
          <w:i/>
          <w:color w:val="000080"/>
          <w:sz w:val="28"/>
          <w:szCs w:val="28"/>
        </w:rPr>
        <w:t xml:space="preserve">Teacher Observations  </w:t>
      </w:r>
    </w:p>
    <w:p w14:paraId="521B55D0" w14:textId="77777777" w:rsidR="00E11D37" w:rsidRDefault="003D244A" w:rsidP="003D7BFE">
      <w:pPr>
        <w:jc w:val="both"/>
        <w:rPr>
          <w:color w:val="000000"/>
        </w:rPr>
      </w:pPr>
      <w:r>
        <w:t>Site visits took place between late November</w:t>
      </w:r>
      <w:r w:rsidR="003C20B0">
        <w:t xml:space="preserve"> and</w:t>
      </w:r>
      <w:r>
        <w:t xml:space="preserve"> mid-December, and again between March and April.  Classroom observations were conducted by representatives of the research team.  </w:t>
      </w:r>
      <w:r>
        <w:rPr>
          <w:color w:val="000000"/>
        </w:rPr>
        <w:t xml:space="preserve">All iLit </w:t>
      </w:r>
      <w:r w:rsidRPr="00E11D37">
        <w:rPr>
          <w:color w:val="000000"/>
        </w:rPr>
        <w:t>teach</w:t>
      </w:r>
      <w:r w:rsidR="008F5028" w:rsidRPr="00E11D37">
        <w:rPr>
          <w:color w:val="000000"/>
        </w:rPr>
        <w:t>ers were observed twice</w:t>
      </w:r>
      <w:r w:rsidR="008652EF" w:rsidRPr="00E11D37">
        <w:rPr>
          <w:color w:val="000000"/>
        </w:rPr>
        <w:t xml:space="preserve"> each school year</w:t>
      </w:r>
      <w:r w:rsidR="008F5028" w:rsidRPr="00E11D37">
        <w:rPr>
          <w:color w:val="000000"/>
        </w:rPr>
        <w:t xml:space="preserve"> </w:t>
      </w:r>
      <w:r w:rsidRPr="00E11D37">
        <w:rPr>
          <w:color w:val="000000"/>
        </w:rPr>
        <w:t>and comparison classrooms from each school were observed at least once during routine English language arts lessons.</w:t>
      </w:r>
      <w:r w:rsidR="008F5028" w:rsidRPr="00E11D37">
        <w:rPr>
          <w:color w:val="000000"/>
        </w:rPr>
        <w:t xml:space="preserve">  Note the NJ s</w:t>
      </w:r>
      <w:r w:rsidR="00E11D37" w:rsidRPr="00E11D37">
        <w:rPr>
          <w:color w:val="000000"/>
        </w:rPr>
        <w:t xml:space="preserve">chool was not observed in 2013 because of their </w:t>
      </w:r>
      <w:r w:rsidR="008F5028" w:rsidRPr="00E11D37">
        <w:rPr>
          <w:color w:val="000000"/>
        </w:rPr>
        <w:t>late start</w:t>
      </w:r>
      <w:r w:rsidR="00E11D37" w:rsidRPr="00E11D37">
        <w:rPr>
          <w:color w:val="000000"/>
        </w:rPr>
        <w:t xml:space="preserve"> with the program</w:t>
      </w:r>
      <w:r w:rsidR="008F5028" w:rsidRPr="00E11D37">
        <w:rPr>
          <w:color w:val="000000"/>
        </w:rPr>
        <w:t>.</w:t>
      </w:r>
      <w:r w:rsidRPr="00E11D37">
        <w:rPr>
          <w:color w:val="000000"/>
        </w:rPr>
        <w:t xml:space="preserve">  </w:t>
      </w:r>
    </w:p>
    <w:p w14:paraId="7DB7F2D6" w14:textId="77777777" w:rsidR="00E11D37" w:rsidRDefault="00E11D37" w:rsidP="003D7BFE">
      <w:pPr>
        <w:jc w:val="both"/>
        <w:rPr>
          <w:color w:val="000000"/>
        </w:rPr>
      </w:pPr>
    </w:p>
    <w:p w14:paraId="14EBF9A0" w14:textId="77777777" w:rsidR="003D244A" w:rsidRDefault="003D244A" w:rsidP="003D7BFE">
      <w:pPr>
        <w:jc w:val="both"/>
      </w:pPr>
      <w:r w:rsidRPr="00E11D37">
        <w:t>Portions of the observation forms included; a description of the classroom environment, summary of the lesson taught, teacher</w:t>
      </w:r>
      <w:r>
        <w:t xml:space="preserve"> interview, student comments, observed teaching strengths and weaknesses, pacing, and supplemental instruction information.  The observations also allowed the research team to </w:t>
      </w:r>
      <w:r>
        <w:rPr>
          <w:color w:val="000000"/>
        </w:rPr>
        <w:t>verify</w:t>
      </w:r>
      <w:r>
        <w:t xml:space="preserve"> the ability and willingness of iLit teachers to properly implement the program. </w:t>
      </w:r>
      <w:r w:rsidR="008652EF">
        <w:t>It should be noted that periodic</w:t>
      </w:r>
      <w:r>
        <w:t xml:space="preserve"> observations show just a snapshot of the classroom environment and instruction.  The observations are, however, worthwhile because they are the only opportunity the research team has to directly observe the study teachers in action and verify teacher reported information.  </w:t>
      </w:r>
    </w:p>
    <w:p w14:paraId="3BD42898" w14:textId="77777777" w:rsidR="003D244A" w:rsidRDefault="003D244A" w:rsidP="003D7BFE">
      <w:pPr>
        <w:jc w:val="both"/>
      </w:pPr>
    </w:p>
    <w:p w14:paraId="55263545" w14:textId="77777777" w:rsidR="003D244A" w:rsidRDefault="003D244A" w:rsidP="003D7BFE">
      <w:pPr>
        <w:autoSpaceDE w:val="0"/>
        <w:autoSpaceDN w:val="0"/>
        <w:adjustRightInd w:val="0"/>
        <w:rPr>
          <w:b/>
          <w:color w:val="FFFF99"/>
          <w:sz w:val="8"/>
          <w:szCs w:val="8"/>
        </w:rPr>
      </w:pPr>
      <w:r>
        <w:rPr>
          <w:b/>
          <w:i/>
          <w:color w:val="000080"/>
          <w:sz w:val="28"/>
          <w:szCs w:val="28"/>
        </w:rPr>
        <w:t>Teacher Surveys</w:t>
      </w:r>
    </w:p>
    <w:p w14:paraId="35D6810B" w14:textId="6347CE76" w:rsidR="003D244A" w:rsidRDefault="003D244A" w:rsidP="00C6515B">
      <w:pPr>
        <w:tabs>
          <w:tab w:val="left" w:pos="4680"/>
        </w:tabs>
        <w:jc w:val="both"/>
      </w:pPr>
      <w:r>
        <w:t>All participating teachers were administered three brief online surveys</w:t>
      </w:r>
      <w:r w:rsidR="008652EF">
        <w:t xml:space="preserve"> each school year</w:t>
      </w:r>
      <w:r>
        <w:t xml:space="preserve"> </w:t>
      </w:r>
      <w:r w:rsidR="003C20B0">
        <w:t>distributed equally throughout</w:t>
      </w:r>
      <w:r>
        <w:t xml:space="preserve"> the school year.  The purpose of these surveys was to collect information on teaching experience and education, school environment and student population, teaching philosophy and strategies, literacy curricula and implementation, and finally technology usage. Teachers using iLit were also asked to illuminate positives and negatives about the program and </w:t>
      </w:r>
      <w:r w:rsidR="00FB7598">
        <w:t xml:space="preserve">recommend </w:t>
      </w:r>
      <w:r>
        <w:t xml:space="preserve">useful revisions of the program.  All of this information allowed researchers to gain additional insight into the overall experience at each research site. </w:t>
      </w:r>
    </w:p>
    <w:p w14:paraId="012148D5" w14:textId="77777777" w:rsidR="003D244A" w:rsidRDefault="003D244A" w:rsidP="003D7BFE"/>
    <w:p w14:paraId="74F3D1F1" w14:textId="77777777" w:rsidR="003D244A" w:rsidRDefault="003D244A" w:rsidP="003D7BFE">
      <w:r>
        <w:rPr>
          <w:b/>
          <w:i/>
          <w:color w:val="000080"/>
          <w:sz w:val="28"/>
          <w:szCs w:val="28"/>
        </w:rPr>
        <w:t xml:space="preserve">iLit Teacher Focus Group </w:t>
      </w:r>
    </w:p>
    <w:p w14:paraId="48C9FE17" w14:textId="77777777" w:rsidR="003D244A" w:rsidRDefault="003D244A" w:rsidP="003D7BFE">
      <w:pPr>
        <w:jc w:val="both"/>
      </w:pPr>
      <w:r>
        <w:t xml:space="preserve">Focus groups were executed by the research team each school year to ascertain teacher attitudes toward the iLit program.  Focus groups, though more labor intensive, can be superior to simple questionnaires in collecting detailed attitudinal information from participants.  When properly conducted, the focus group discussion gravitates to those topics most important to the participants, and can provide more nuanced information.  Collecting attitudinal data in person allows for a better understanding of participant tone and importance of responses, and provides opportunity to delve deeper into topics.  </w:t>
      </w:r>
    </w:p>
    <w:p w14:paraId="0825A12F" w14:textId="77777777" w:rsidR="003D244A" w:rsidRDefault="003D244A" w:rsidP="003D7BFE">
      <w:pPr>
        <w:jc w:val="both"/>
      </w:pPr>
    </w:p>
    <w:p w14:paraId="26A53FF9" w14:textId="77777777" w:rsidR="003D244A" w:rsidRDefault="003D244A" w:rsidP="003D7BFE">
      <w:pPr>
        <w:jc w:val="both"/>
        <w:rPr>
          <w:b/>
          <w:i/>
          <w:color w:val="000080"/>
          <w:sz w:val="28"/>
          <w:szCs w:val="28"/>
        </w:rPr>
      </w:pPr>
      <w:r>
        <w:rPr>
          <w:b/>
          <w:i/>
          <w:color w:val="000080"/>
          <w:sz w:val="28"/>
          <w:szCs w:val="28"/>
        </w:rPr>
        <w:t>The focus group results describe what teachers and students liked about the iLit</w:t>
      </w:r>
      <w:r>
        <w:rPr>
          <w:b/>
          <w:i/>
          <w:color w:val="000080"/>
          <w:spacing w:val="-20"/>
          <w:sz w:val="28"/>
          <w:szCs w:val="28"/>
        </w:rPr>
        <w:t xml:space="preserve"> </w:t>
      </w:r>
      <w:r>
        <w:rPr>
          <w:b/>
          <w:i/>
          <w:color w:val="000080"/>
          <w:sz w:val="28"/>
          <w:szCs w:val="28"/>
        </w:rPr>
        <w:t>program, how the program could be improved, and how teachers are using specific features of the program.</w:t>
      </w:r>
    </w:p>
    <w:p w14:paraId="2C93FA44" w14:textId="77777777" w:rsidR="003D244A" w:rsidRDefault="003D244A" w:rsidP="003D7BFE">
      <w:pPr>
        <w:jc w:val="both"/>
      </w:pPr>
    </w:p>
    <w:p w14:paraId="43F4CF21" w14:textId="77777777" w:rsidR="003D244A" w:rsidRDefault="003D244A" w:rsidP="003D7BFE">
      <w:pPr>
        <w:jc w:val="both"/>
      </w:pPr>
      <w:r>
        <w:t>Focus group s</w:t>
      </w:r>
      <w:r w:rsidR="00D64415">
        <w:t>essions were conducted via WebEx in March and April</w:t>
      </w:r>
      <w:r>
        <w:t xml:space="preserve">.  The research team </w:t>
      </w:r>
      <w:r w:rsidRPr="00436986">
        <w:t xml:space="preserve">facilitated each session.  The sessions lasted approximately 60 minutes.  </w:t>
      </w:r>
      <w:r w:rsidR="00D64415" w:rsidRPr="00436986">
        <w:t xml:space="preserve">All </w:t>
      </w:r>
      <w:r w:rsidR="008652EF" w:rsidRPr="00436986">
        <w:rPr>
          <w:color w:val="000000"/>
        </w:rPr>
        <w:t xml:space="preserve">iLit </w:t>
      </w:r>
      <w:r w:rsidR="008652EF" w:rsidRPr="00436986">
        <w:t>teachers participated in the focus group sessions</w:t>
      </w:r>
      <w:r w:rsidR="00D64415" w:rsidRPr="00436986">
        <w:t xml:space="preserve"> in both school years</w:t>
      </w:r>
      <w:r w:rsidR="008652EF" w:rsidRPr="00436986">
        <w:t>.</w:t>
      </w:r>
    </w:p>
    <w:p w14:paraId="21BB0952" w14:textId="77777777" w:rsidR="008652EF" w:rsidRDefault="008652EF" w:rsidP="003D7BFE">
      <w:pPr>
        <w:jc w:val="both"/>
      </w:pPr>
    </w:p>
    <w:p w14:paraId="1F614A96" w14:textId="77777777" w:rsidR="003D244A" w:rsidRDefault="003D244A" w:rsidP="003D7BFE">
      <w:pPr>
        <w:jc w:val="both"/>
      </w:pPr>
      <w:r>
        <w:t xml:space="preserve">These sessions provided a forum for teachers to respond to specific questions about the curriculum, as well as express their professional and personal opinions about the program.  Each session held the teachers’ comfort level as a high priority.  The teachers were encouraged to speak without hesitation or inhibition, and to be as honest and candid as possible.  Though the facilitator followed </w:t>
      </w:r>
      <w:r>
        <w:lastRenderedPageBreak/>
        <w:t xml:space="preserve">a structured interview format, the teachers were allowed to direct the discussion and provide their reactions to, and comment on, any and all aspects of the program.  The focus group sessions provided extensive insight into teacher and student experiences with, and attitudes about, the program.  </w:t>
      </w:r>
    </w:p>
    <w:p w14:paraId="72770E04" w14:textId="77777777" w:rsidR="003D244A" w:rsidRDefault="003D244A" w:rsidP="003D7BFE">
      <w:pPr>
        <w:jc w:val="both"/>
      </w:pPr>
    </w:p>
    <w:p w14:paraId="5C61B220" w14:textId="77777777" w:rsidR="003D244A" w:rsidRDefault="003D244A" w:rsidP="003D7BFE">
      <w:pPr>
        <w:jc w:val="both"/>
      </w:pPr>
      <w:r>
        <w:t xml:space="preserve">Each session was recorded and transcribed, allowing the research team to compile a large master file of participant responses.  Following an exhaustive review of the teacher responses, a two-dimensional coding system was developed to organize the responses.  Responses were categorized by </w:t>
      </w:r>
      <w:r>
        <w:rPr>
          <w:i/>
        </w:rPr>
        <w:t>Topic Area</w:t>
      </w:r>
      <w:r>
        <w:t xml:space="preserve"> and </w:t>
      </w:r>
      <w:r>
        <w:rPr>
          <w:i/>
        </w:rPr>
        <w:t>Attitude</w:t>
      </w:r>
      <w:r>
        <w:t xml:space="preserve">.  Topic area codes have a three digit numeric format, with the first digit on the left indicating general topic category and the remaining digits indicating a specific topic within each general category.  The topic codes are further categorized by teacher and paired with either an ‘N’ to indicate neutral, a ‘+’ to indicate positive, or a ‘–‘ to indicate a negative attitude toward an aspect of the program or the tone of the comment.  </w:t>
      </w:r>
    </w:p>
    <w:p w14:paraId="2AFB6D70" w14:textId="77777777" w:rsidR="003D244A" w:rsidRDefault="003D244A" w:rsidP="003D7BFE">
      <w:pPr>
        <w:jc w:val="both"/>
      </w:pPr>
    </w:p>
    <w:p w14:paraId="0AA2262D" w14:textId="77777777" w:rsidR="003D244A" w:rsidRDefault="003D244A" w:rsidP="003D7BFE">
      <w:pPr>
        <w:jc w:val="both"/>
      </w:pPr>
    </w:p>
    <w:p w14:paraId="099F4094"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3D7D1208" w14:textId="77777777" w:rsidR="003D244A" w:rsidRDefault="003D244A" w:rsidP="003D7BFE">
      <w:pPr>
        <w:rPr>
          <w:b/>
          <w:i/>
          <w:color w:val="000080"/>
          <w:sz w:val="28"/>
          <w:szCs w:val="28"/>
          <w:shd w:val="clear" w:color="auto" w:fill="D9D9D9"/>
        </w:rPr>
      </w:pPr>
      <w:r>
        <w:rPr>
          <w:b/>
          <w:i/>
          <w:color w:val="000080"/>
          <w:sz w:val="28"/>
          <w:szCs w:val="28"/>
        </w:rPr>
        <w:t xml:space="preserve">  Site Recruitment and Selection</w:t>
      </w:r>
    </w:p>
    <w:p w14:paraId="02299374"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100A74C1" w14:textId="77777777" w:rsidR="003D244A" w:rsidRDefault="003D244A" w:rsidP="003D7BFE"/>
    <w:p w14:paraId="7C2DB8A6" w14:textId="77777777" w:rsidR="003D244A" w:rsidRDefault="003D244A" w:rsidP="003D7BFE">
      <w:pPr>
        <w:jc w:val="both"/>
        <w:rPr>
          <w:color w:val="000000"/>
        </w:rPr>
      </w:pPr>
      <w:r>
        <w:t xml:space="preserve">Prior to the 2013-14 school year, the research team identified potential research schools with the </w:t>
      </w:r>
      <w:r>
        <w:rPr>
          <w:color w:val="000000"/>
        </w:rPr>
        <w:t>appropriate technology and teacher(s) available to implement the iLit program.  Specifically, schools needed</w:t>
      </w:r>
      <w:r>
        <w:t xml:space="preserve"> to have at least one teacher willing and eager to accept the challenge of the </w:t>
      </w:r>
      <w:r w:rsidR="00130B72">
        <w:t>technology, a class set of tablets</w:t>
      </w:r>
      <w:r>
        <w:t xml:space="preserve"> dedicated to the iLit classroom on a daily basis, </w:t>
      </w:r>
      <w:r>
        <w:rPr>
          <w:color w:val="000000"/>
        </w:rPr>
        <w:t>and a sizeable group of students performing below grade level in English Language Arts that were eligi</w:t>
      </w:r>
      <w:r w:rsidR="006720D1">
        <w:rPr>
          <w:color w:val="000000"/>
        </w:rPr>
        <w:t>ble to participate in the study.</w:t>
      </w:r>
      <w:r>
        <w:rPr>
          <w:color w:val="000000"/>
        </w:rPr>
        <w:t xml:space="preserve"> </w:t>
      </w:r>
    </w:p>
    <w:p w14:paraId="0111B36B" w14:textId="77777777" w:rsidR="003D244A" w:rsidRDefault="003D244A" w:rsidP="003D7BFE">
      <w:pPr>
        <w:jc w:val="both"/>
        <w:rPr>
          <w:color w:val="000000"/>
        </w:rPr>
      </w:pPr>
    </w:p>
    <w:p w14:paraId="1F1CADC5" w14:textId="77777777" w:rsidR="003D244A" w:rsidRDefault="003D244A" w:rsidP="003D7BFE">
      <w:pPr>
        <w:jc w:val="both"/>
        <w:rPr>
          <w:color w:val="000000"/>
        </w:rPr>
      </w:pPr>
      <w:r>
        <w:rPr>
          <w:color w:val="000000"/>
        </w:rPr>
        <w:t>Potential schools that indicated interest</w:t>
      </w:r>
      <w:r>
        <w:t xml:space="preserve"> were sent a study description that included responsibilities and incentives.  Research schools were further vetted through Pearson </w:t>
      </w:r>
      <w:r w:rsidR="00166829">
        <w:t xml:space="preserve">technical liaisons </w:t>
      </w:r>
      <w:r>
        <w:t xml:space="preserve">and the research team.  The research team vetted schools with diligent back-and-forth communication around a detailed questionnaire and an infrastructure checklist.  </w:t>
      </w:r>
    </w:p>
    <w:p w14:paraId="2A432441" w14:textId="77777777" w:rsidR="003D244A" w:rsidRDefault="003D244A" w:rsidP="003D7BFE">
      <w:pPr>
        <w:jc w:val="both"/>
      </w:pPr>
    </w:p>
    <w:p w14:paraId="6CD28DBE" w14:textId="77777777" w:rsidR="003D244A" w:rsidRDefault="003D244A" w:rsidP="003D7BFE">
      <w:pPr>
        <w:jc w:val="both"/>
      </w:pPr>
      <w:r>
        <w:t xml:space="preserve">When sites were deemed eligible for participation and approved by the Principal Investigator, the school was invited to participate in the study.  To complete the research application process both a district level administrator (ex., curriculum director, superintendent) and a school level administrator (ex., principal) signed a memorandum of understanding (MOU) outlining the responsibilities of each stakeholder.  Among other things, the MOU stipulated that participating schools </w:t>
      </w:r>
      <w:r w:rsidR="00166829">
        <w:t>not</w:t>
      </w:r>
      <w:r>
        <w:t xml:space="preserve"> use a fully digital literacy program with comparison students, abide by the students’ random assignment, and that iLit teachers fully implement the program with their students</w:t>
      </w:r>
      <w:r>
        <w:rPr>
          <w:color w:val="000000"/>
        </w:rPr>
        <w:t xml:space="preserve">. </w:t>
      </w:r>
      <w:r>
        <w:t xml:space="preserve"> </w:t>
      </w:r>
    </w:p>
    <w:p w14:paraId="64949617" w14:textId="77777777" w:rsidR="003D244A" w:rsidRDefault="003D244A" w:rsidP="003D7BFE">
      <w:pPr>
        <w:jc w:val="both"/>
        <w:rPr>
          <w:color w:val="000000"/>
        </w:rPr>
      </w:pPr>
    </w:p>
    <w:p w14:paraId="334ECD58" w14:textId="77777777" w:rsidR="003D244A" w:rsidRDefault="003D244A" w:rsidP="003D7BFE">
      <w:pPr>
        <w:jc w:val="both"/>
        <w:rPr>
          <w:color w:val="000000"/>
        </w:rPr>
      </w:pPr>
      <w:r>
        <w:rPr>
          <w:color w:val="000000"/>
        </w:rPr>
        <w:t>A Pearson field engineer spoke with each site to assess their infrastructure and ensure they would be able to successfully install and run iLit.  Then a field engineer was dispatched for a site visit to perform the installation process and verify the program was in fact working properly.</w:t>
      </w:r>
    </w:p>
    <w:p w14:paraId="71286C67" w14:textId="77777777" w:rsidR="003D244A" w:rsidRDefault="003D244A" w:rsidP="003D7BFE">
      <w:pPr>
        <w:jc w:val="both"/>
        <w:rPr>
          <w:color w:val="000000"/>
        </w:rPr>
      </w:pPr>
    </w:p>
    <w:p w14:paraId="36D3978A" w14:textId="3B99C4E0" w:rsidR="008A59DE" w:rsidRDefault="003D244A" w:rsidP="003D7BFE">
      <w:pPr>
        <w:jc w:val="both"/>
      </w:pPr>
      <w:r>
        <w:rPr>
          <w:color w:val="000000"/>
        </w:rPr>
        <w:t xml:space="preserve">Ultimately, six schools from urban, suburban and rural school districts in six different states (i.e., AZ, CA, CO, MI, NJ and NY) were recruited.  One metropolitan school in Arizona </w:t>
      </w:r>
      <w:r w:rsidR="007720DE">
        <w:rPr>
          <w:color w:val="000000"/>
        </w:rPr>
        <w:t>participated. Michigan</w:t>
      </w:r>
      <w:r>
        <w:rPr>
          <w:color w:val="000000"/>
        </w:rPr>
        <w:t xml:space="preserve"> and </w:t>
      </w:r>
      <w:r w:rsidR="00BC2A91">
        <w:rPr>
          <w:color w:val="000000"/>
        </w:rPr>
        <w:t>New Jersey</w:t>
      </w:r>
      <w:r>
        <w:rPr>
          <w:color w:val="000000"/>
        </w:rPr>
        <w:t xml:space="preserve"> each contributed one suburban school.  Lastly,</w:t>
      </w:r>
      <w:r w:rsidR="00BC2A91">
        <w:rPr>
          <w:color w:val="000000"/>
        </w:rPr>
        <w:t xml:space="preserve"> </w:t>
      </w:r>
      <w:r w:rsidR="007720DE">
        <w:rPr>
          <w:color w:val="000000"/>
        </w:rPr>
        <w:t xml:space="preserve">one </w:t>
      </w:r>
      <w:r>
        <w:rPr>
          <w:color w:val="000000"/>
        </w:rPr>
        <w:t>rural school</w:t>
      </w:r>
      <w:r w:rsidR="007720DE">
        <w:rPr>
          <w:color w:val="000000"/>
        </w:rPr>
        <w:t xml:space="preserve"> from California and </w:t>
      </w:r>
      <w:r>
        <w:rPr>
          <w:color w:val="000000"/>
        </w:rPr>
        <w:t xml:space="preserve">Colorado participated in the study.  </w:t>
      </w:r>
      <w:r>
        <w:t xml:space="preserve">Appendix 1 provides details about the educational environment for each study site, as well as a demographic breakdown.  This </w:t>
      </w:r>
      <w:r>
        <w:lastRenderedPageBreak/>
        <w:t xml:space="preserve">information is important for determining how applicable results from this study may be to the consumers of this report. </w:t>
      </w:r>
    </w:p>
    <w:p w14:paraId="6E69672A" w14:textId="77777777" w:rsidR="0034456D" w:rsidRDefault="0034456D" w:rsidP="003D7BFE">
      <w:pPr>
        <w:jc w:val="both"/>
      </w:pPr>
    </w:p>
    <w:p w14:paraId="5CA7B4E3" w14:textId="77777777" w:rsidR="0034456D" w:rsidRDefault="0034456D" w:rsidP="003D7BFE">
      <w:pPr>
        <w:jc w:val="both"/>
      </w:pPr>
    </w:p>
    <w:p w14:paraId="28D34168"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005E7D5A">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4B80FD8F" w14:textId="77777777" w:rsidR="003D244A" w:rsidRDefault="003D244A" w:rsidP="003D7BFE">
      <w:pPr>
        <w:rPr>
          <w:b/>
          <w:i/>
          <w:color w:val="000080"/>
          <w:sz w:val="28"/>
          <w:szCs w:val="28"/>
          <w:shd w:val="clear" w:color="auto" w:fill="D9D9D9"/>
        </w:rPr>
      </w:pPr>
      <w:r>
        <w:rPr>
          <w:b/>
          <w:i/>
          <w:color w:val="000080"/>
          <w:sz w:val="28"/>
          <w:szCs w:val="28"/>
        </w:rPr>
        <w:t xml:space="preserve">  </w:t>
      </w:r>
      <w:r w:rsidR="005E7D5A" w:rsidRPr="00665177">
        <w:rPr>
          <w:b/>
          <w:i/>
          <w:color w:val="000080"/>
          <w:sz w:val="28"/>
          <w:szCs w:val="28"/>
        </w:rPr>
        <w:t>Comparison Classroom Literacy</w:t>
      </w:r>
      <w:r w:rsidRPr="00665177">
        <w:rPr>
          <w:b/>
          <w:i/>
          <w:color w:val="000080"/>
          <w:sz w:val="28"/>
          <w:szCs w:val="28"/>
        </w:rPr>
        <w:t xml:space="preserve"> Instruction</w:t>
      </w:r>
      <w:r>
        <w:rPr>
          <w:b/>
          <w:i/>
          <w:color w:val="000080"/>
          <w:sz w:val="28"/>
          <w:szCs w:val="28"/>
        </w:rPr>
        <w:t xml:space="preserve"> </w:t>
      </w:r>
    </w:p>
    <w:p w14:paraId="2E8C3B6E"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005E7D5A">
        <w:rPr>
          <w:b/>
          <w:color w:val="FFFF99"/>
          <w:sz w:val="8"/>
          <w:szCs w:val="8"/>
          <w:highlight w:val="darkBlue"/>
        </w:rPr>
        <w:tab/>
      </w:r>
      <w:r w:rsidRPr="003D7BFE">
        <w:rPr>
          <w:b/>
          <w:color w:val="FFFF99"/>
          <w:sz w:val="8"/>
          <w:szCs w:val="8"/>
          <w:highlight w:val="darkBlue"/>
        </w:rPr>
        <w:tab/>
      </w:r>
    </w:p>
    <w:p w14:paraId="54D0B4B0" w14:textId="77777777" w:rsidR="005802EE" w:rsidRDefault="005802EE" w:rsidP="00F57319">
      <w:pPr>
        <w:jc w:val="both"/>
      </w:pPr>
    </w:p>
    <w:p w14:paraId="65B0B9F3" w14:textId="77777777" w:rsidR="00F57319" w:rsidRPr="00F57319" w:rsidRDefault="005802EE" w:rsidP="00F57319">
      <w:pPr>
        <w:jc w:val="both"/>
      </w:pPr>
      <w:r>
        <w:t>Each school</w:t>
      </w:r>
      <w:r w:rsidR="00726016" w:rsidRPr="005E716D">
        <w:t xml:space="preserve"> decided how students would be included in </w:t>
      </w:r>
      <w:r w:rsidR="003D244A" w:rsidRPr="005E716D">
        <w:t>the compa</w:t>
      </w:r>
      <w:r w:rsidR="00726016" w:rsidRPr="005E716D">
        <w:t>rison classrooms and how many comparison classrooms there would be</w:t>
      </w:r>
      <w:r w:rsidR="003D244A" w:rsidRPr="005E716D">
        <w:t>.</w:t>
      </w:r>
      <w:r w:rsidR="00726016" w:rsidRPr="005E716D">
        <w:t xml:space="preserve">  That is</w:t>
      </w:r>
      <w:r w:rsidR="002653B6" w:rsidRPr="005E716D">
        <w:t>, a school may have put all comparison students into a single classroom or mixed</w:t>
      </w:r>
      <w:r w:rsidR="0084219A">
        <w:t xml:space="preserve"> the</w:t>
      </w:r>
      <w:r w:rsidR="002653B6" w:rsidRPr="005E716D">
        <w:t xml:space="preserve"> comparison students among all the 7</w:t>
      </w:r>
      <w:r w:rsidR="002653B6" w:rsidRPr="005E716D">
        <w:rPr>
          <w:vertAlign w:val="superscript"/>
        </w:rPr>
        <w:t>th</w:t>
      </w:r>
      <w:r w:rsidR="002653B6" w:rsidRPr="005E716D">
        <w:t xml:space="preserve"> </w:t>
      </w:r>
      <w:r w:rsidR="00A55E0A">
        <w:t xml:space="preserve">grade English Language </w:t>
      </w:r>
      <w:r w:rsidR="00A55E0A" w:rsidRPr="00CA3571">
        <w:t>Arts</w:t>
      </w:r>
      <w:r w:rsidR="002653B6" w:rsidRPr="00CA3571">
        <w:t xml:space="preserve"> sections</w:t>
      </w:r>
      <w:r w:rsidR="00C86DEB" w:rsidRPr="00CA3571">
        <w:t>.</w:t>
      </w:r>
      <w:r w:rsidR="00726016" w:rsidRPr="00CA3571">
        <w:t xml:space="preserve"> </w:t>
      </w:r>
      <w:r w:rsidR="00C86DEB" w:rsidRPr="00CA3571">
        <w:t xml:space="preserve"> </w:t>
      </w:r>
      <w:r w:rsidR="0022341A" w:rsidRPr="00CA3571">
        <w:t>Table 2 breaks out how study sections where setup and the minutes of literacy</w:t>
      </w:r>
      <w:r w:rsidR="0022341A" w:rsidRPr="0022341A">
        <w:t xml:space="preserve"> instruction at each school.  </w:t>
      </w:r>
      <w:r w:rsidR="00F57319" w:rsidRPr="00F57319">
        <w:t>In the first school year all iLit students were contained together in separate classes.  This changed in the second school year with the NY school mixing new non-study students to their iLit classes.</w:t>
      </w:r>
    </w:p>
    <w:p w14:paraId="47DA7C57" w14:textId="77777777" w:rsidR="00F57319" w:rsidRDefault="00F57319" w:rsidP="003D7BFE">
      <w:pPr>
        <w:jc w:val="both"/>
      </w:pPr>
    </w:p>
    <w:p w14:paraId="23E0E003" w14:textId="77777777" w:rsidR="00042C9C" w:rsidRDefault="003D244A" w:rsidP="001C1FF5">
      <w:pPr>
        <w:jc w:val="both"/>
      </w:pPr>
      <w:r w:rsidRPr="00E70063">
        <w:t>The MI school decided a single teacher w</w:t>
      </w:r>
      <w:r w:rsidR="008A0234" w:rsidRPr="00E70063">
        <w:t xml:space="preserve">ould instruct both the iLit and </w:t>
      </w:r>
      <w:r w:rsidRPr="00E70063">
        <w:t>comparison classrooms, one of each with study students only</w:t>
      </w:r>
      <w:r w:rsidR="00E70063" w:rsidRPr="00E70063">
        <w:t>, an additional comparison teacher was added the second school year</w:t>
      </w:r>
      <w:r w:rsidRPr="00E70063">
        <w:t xml:space="preserve">.  The CA and CO schools used different teachers to instruct the iLit and comparison students, </w:t>
      </w:r>
      <w:r w:rsidR="00166829" w:rsidRPr="00E70063">
        <w:t>with each teacher providing instruction to</w:t>
      </w:r>
      <w:r w:rsidRPr="00E70063">
        <w:t xml:space="preserve"> one section</w:t>
      </w:r>
      <w:r w:rsidR="00166829" w:rsidRPr="00E70063">
        <w:t xml:space="preserve"> </w:t>
      </w:r>
      <w:r w:rsidRPr="00E70063">
        <w:t>consisting solely of study students.</w:t>
      </w:r>
      <w:r w:rsidR="00E70063" w:rsidRPr="00E70063">
        <w:t xml:space="preserve">  The comparison students at these schools were merged with non-study students the second school year.</w:t>
      </w:r>
      <w:r w:rsidRPr="00E70063">
        <w:t xml:space="preserve">  The remaining three schools</w:t>
      </w:r>
      <w:r w:rsidR="00043B02" w:rsidRPr="00E70063">
        <w:t xml:space="preserve"> (i.e., AZ, NJ, NY) had </w:t>
      </w:r>
      <w:r w:rsidRPr="00E70063">
        <w:t xml:space="preserve">two or more mixed comparison sections with portions of study </w:t>
      </w:r>
      <w:r w:rsidR="00E70063" w:rsidRPr="00E70063">
        <w:t>students in both school years</w:t>
      </w:r>
      <w:r w:rsidRPr="00E70063">
        <w:t>.</w:t>
      </w:r>
    </w:p>
    <w:p w14:paraId="04FE94BB" w14:textId="76E8C749" w:rsidR="00BE3BCA" w:rsidRDefault="00BE3BCA" w:rsidP="00BE3BCA">
      <w:pPr>
        <w:jc w:val="both"/>
      </w:pPr>
    </w:p>
    <w:p w14:paraId="5B323D98" w14:textId="77777777" w:rsidR="003474DB" w:rsidRDefault="003474DB" w:rsidP="00BE3BCA">
      <w:pPr>
        <w:jc w:val="both"/>
      </w:pPr>
    </w:p>
    <w:tbl>
      <w:tblPr>
        <w:tblW w:w="11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3"/>
        <w:gridCol w:w="334"/>
        <w:gridCol w:w="1262"/>
        <w:gridCol w:w="2430"/>
        <w:gridCol w:w="1530"/>
        <w:gridCol w:w="3330"/>
        <w:gridCol w:w="1094"/>
      </w:tblGrid>
      <w:tr w:rsidR="00BE3BCA" w:rsidRPr="00BA35B7" w14:paraId="6D215AC1" w14:textId="77777777" w:rsidTr="002B482F">
        <w:trPr>
          <w:cantSplit/>
          <w:jc w:val="center"/>
        </w:trPr>
        <w:tc>
          <w:tcPr>
            <w:tcW w:w="1123" w:type="dxa"/>
            <w:tcBorders>
              <w:right w:val="nil"/>
            </w:tcBorders>
            <w:shd w:val="clear" w:color="auto" w:fill="0000FF"/>
          </w:tcPr>
          <w:p w14:paraId="359C81E8" w14:textId="77777777" w:rsidR="00BE3BCA" w:rsidRPr="00DF4401" w:rsidRDefault="00BE3BCA" w:rsidP="002B482F">
            <w:pPr>
              <w:spacing w:before="31" w:after="31"/>
              <w:rPr>
                <w:rFonts w:ascii="Gill Sans MT" w:hAnsi="Gill Sans MT"/>
                <w:color w:val="FFFF99"/>
              </w:rPr>
            </w:pPr>
            <w:r w:rsidRPr="00CA3571">
              <w:rPr>
                <w:rFonts w:ascii="Gill Sans MT" w:hAnsi="Gill Sans MT"/>
                <w:color w:val="FFFF99"/>
              </w:rPr>
              <w:t>Table 2a</w:t>
            </w:r>
          </w:p>
        </w:tc>
        <w:tc>
          <w:tcPr>
            <w:tcW w:w="9980" w:type="dxa"/>
            <w:gridSpan w:val="6"/>
            <w:tcBorders>
              <w:left w:val="nil"/>
            </w:tcBorders>
            <w:shd w:val="clear" w:color="auto" w:fill="0000FF"/>
          </w:tcPr>
          <w:p w14:paraId="50306F0E" w14:textId="77777777" w:rsidR="00BE3BCA" w:rsidRPr="00A672CA" w:rsidRDefault="00BE3BCA" w:rsidP="002B482F">
            <w:pPr>
              <w:spacing w:before="31" w:after="31"/>
              <w:jc w:val="center"/>
              <w:rPr>
                <w:rFonts w:ascii="Gill Sans MT" w:hAnsi="Gill Sans MT"/>
                <w:color w:val="FFFF99"/>
              </w:rPr>
            </w:pPr>
            <w:r w:rsidRPr="00A672CA">
              <w:rPr>
                <w:rFonts w:ascii="Gill Sans MT" w:hAnsi="Gill Sans MT"/>
                <w:color w:val="FFFF99"/>
              </w:rPr>
              <w:t>7</w:t>
            </w:r>
            <w:r w:rsidRPr="00A672CA">
              <w:rPr>
                <w:rFonts w:ascii="Gill Sans MT" w:hAnsi="Gill Sans MT"/>
                <w:color w:val="FFFF99"/>
                <w:vertAlign w:val="superscript"/>
              </w:rPr>
              <w:t>th</w:t>
            </w:r>
            <w:r w:rsidRPr="00A672CA">
              <w:rPr>
                <w:rFonts w:ascii="Gill Sans MT" w:hAnsi="Gill Sans MT"/>
                <w:color w:val="FFFF99"/>
              </w:rPr>
              <w:t xml:space="preserve"> Grade Participating Study Classrooms</w:t>
            </w:r>
          </w:p>
        </w:tc>
      </w:tr>
      <w:tr w:rsidR="00BE3BCA" w:rsidRPr="00BA35B7" w14:paraId="00C4D579" w14:textId="77777777" w:rsidTr="002B482F">
        <w:trPr>
          <w:cantSplit/>
          <w:jc w:val="center"/>
        </w:trPr>
        <w:tc>
          <w:tcPr>
            <w:tcW w:w="1457" w:type="dxa"/>
            <w:gridSpan w:val="2"/>
            <w:tcBorders>
              <w:right w:val="nil"/>
            </w:tcBorders>
            <w:shd w:val="clear" w:color="auto" w:fill="D9D9D9" w:themeFill="background1" w:themeFillShade="D9"/>
          </w:tcPr>
          <w:p w14:paraId="33A382D1" w14:textId="77777777" w:rsidR="00BE3BCA" w:rsidRPr="00BA35B7" w:rsidRDefault="00BE3BCA" w:rsidP="002B482F">
            <w:pPr>
              <w:spacing w:before="124" w:after="31"/>
              <w:jc w:val="center"/>
              <w:rPr>
                <w:rFonts w:ascii="Gill Sans MT" w:hAnsi="Gill Sans MT" w:cs="Arial"/>
                <w:sz w:val="20"/>
                <w:szCs w:val="20"/>
              </w:rPr>
            </w:pPr>
            <w:r>
              <w:rPr>
                <w:rFonts w:ascii="Gill Sans MT" w:hAnsi="Gill Sans MT" w:cs="Arial"/>
                <w:sz w:val="20"/>
                <w:szCs w:val="20"/>
              </w:rPr>
              <w:t>Group</w:t>
            </w:r>
          </w:p>
        </w:tc>
        <w:tc>
          <w:tcPr>
            <w:tcW w:w="1262" w:type="dxa"/>
            <w:tcBorders>
              <w:left w:val="nil"/>
              <w:right w:val="nil"/>
            </w:tcBorders>
            <w:shd w:val="clear" w:color="auto" w:fill="D9D9D9" w:themeFill="background1" w:themeFillShade="D9"/>
          </w:tcPr>
          <w:p w14:paraId="22DE6A90" w14:textId="77777777" w:rsidR="00BE3BCA" w:rsidRPr="00BA35B7" w:rsidRDefault="00BE3BCA" w:rsidP="002B482F">
            <w:pPr>
              <w:spacing w:before="31" w:after="31"/>
              <w:jc w:val="center"/>
              <w:rPr>
                <w:rFonts w:ascii="Gill Sans MT" w:hAnsi="Gill Sans MT" w:cs="Arial"/>
                <w:sz w:val="20"/>
                <w:szCs w:val="20"/>
              </w:rPr>
            </w:pPr>
            <w:r>
              <w:rPr>
                <w:rFonts w:ascii="Gill Sans MT" w:hAnsi="Gill Sans MT" w:cs="Arial"/>
                <w:sz w:val="20"/>
                <w:szCs w:val="20"/>
              </w:rPr>
              <w:t>Number Classrooms</w:t>
            </w:r>
          </w:p>
        </w:tc>
        <w:tc>
          <w:tcPr>
            <w:tcW w:w="2430" w:type="dxa"/>
            <w:tcBorders>
              <w:left w:val="nil"/>
              <w:right w:val="nil"/>
            </w:tcBorders>
            <w:shd w:val="clear" w:color="auto" w:fill="D9D9D9" w:themeFill="background1" w:themeFillShade="D9"/>
          </w:tcPr>
          <w:p w14:paraId="49AAD999" w14:textId="77777777" w:rsidR="00BE3BCA" w:rsidRPr="00BA35B7" w:rsidRDefault="00BE3BCA" w:rsidP="002B482F">
            <w:pPr>
              <w:spacing w:before="124" w:after="31"/>
              <w:jc w:val="center"/>
              <w:rPr>
                <w:rFonts w:ascii="Gill Sans MT" w:hAnsi="Gill Sans MT" w:cs="Arial"/>
                <w:sz w:val="20"/>
                <w:szCs w:val="20"/>
              </w:rPr>
            </w:pPr>
            <w:r>
              <w:rPr>
                <w:rFonts w:ascii="Gill Sans MT" w:hAnsi="Gill Sans MT" w:cs="Arial"/>
                <w:sz w:val="20"/>
                <w:szCs w:val="20"/>
              </w:rPr>
              <w:t>Teachers</w:t>
            </w:r>
          </w:p>
        </w:tc>
        <w:tc>
          <w:tcPr>
            <w:tcW w:w="1530" w:type="dxa"/>
            <w:tcBorders>
              <w:left w:val="nil"/>
              <w:right w:val="nil"/>
            </w:tcBorders>
            <w:shd w:val="clear" w:color="auto" w:fill="D9D9D9" w:themeFill="background1" w:themeFillShade="D9"/>
          </w:tcPr>
          <w:p w14:paraId="3A6AA0C4" w14:textId="77777777" w:rsidR="00BE3BCA" w:rsidRPr="00BA35B7" w:rsidRDefault="00BE3BCA" w:rsidP="002B482F">
            <w:pPr>
              <w:spacing w:before="31" w:after="31"/>
              <w:jc w:val="center"/>
              <w:rPr>
                <w:rFonts w:ascii="Gill Sans MT" w:hAnsi="Gill Sans MT" w:cs="Arial"/>
                <w:sz w:val="20"/>
                <w:szCs w:val="20"/>
              </w:rPr>
            </w:pPr>
            <w:r>
              <w:rPr>
                <w:rFonts w:ascii="Gill Sans MT" w:hAnsi="Gill Sans MT" w:cs="Arial"/>
                <w:sz w:val="20"/>
                <w:szCs w:val="20"/>
              </w:rPr>
              <w:t>Includes Non-study Students</w:t>
            </w:r>
          </w:p>
        </w:tc>
        <w:tc>
          <w:tcPr>
            <w:tcW w:w="3330" w:type="dxa"/>
            <w:tcBorders>
              <w:left w:val="nil"/>
              <w:right w:val="nil"/>
            </w:tcBorders>
            <w:shd w:val="clear" w:color="auto" w:fill="D9D9D9" w:themeFill="background1" w:themeFillShade="D9"/>
          </w:tcPr>
          <w:p w14:paraId="27A66568" w14:textId="77777777" w:rsidR="00BE3BCA" w:rsidRPr="00BA35B7" w:rsidRDefault="00BE3BCA" w:rsidP="002B482F">
            <w:pPr>
              <w:spacing w:before="124" w:after="31"/>
              <w:jc w:val="center"/>
              <w:rPr>
                <w:rFonts w:ascii="Gill Sans MT" w:hAnsi="Gill Sans MT" w:cs="Arial"/>
                <w:sz w:val="20"/>
                <w:szCs w:val="20"/>
              </w:rPr>
            </w:pPr>
            <w:r>
              <w:rPr>
                <w:rFonts w:ascii="Gill Sans MT" w:hAnsi="Gill Sans MT" w:cs="Arial"/>
                <w:sz w:val="20"/>
                <w:szCs w:val="20"/>
              </w:rPr>
              <w:t>Study/Non-study Students</w:t>
            </w:r>
          </w:p>
        </w:tc>
        <w:tc>
          <w:tcPr>
            <w:tcW w:w="1094" w:type="dxa"/>
            <w:tcBorders>
              <w:left w:val="nil"/>
            </w:tcBorders>
            <w:shd w:val="clear" w:color="auto" w:fill="D9D9D9" w:themeFill="background1" w:themeFillShade="D9"/>
          </w:tcPr>
          <w:p w14:paraId="358D1755" w14:textId="77777777" w:rsidR="00BE3BCA" w:rsidRPr="00BA35B7" w:rsidRDefault="00BE3BCA" w:rsidP="002B482F">
            <w:pPr>
              <w:spacing w:before="31" w:after="31"/>
              <w:jc w:val="center"/>
              <w:rPr>
                <w:rFonts w:ascii="Gill Sans MT" w:hAnsi="Gill Sans MT" w:cs="Arial"/>
                <w:sz w:val="20"/>
                <w:szCs w:val="20"/>
                <w:highlight w:val="yellow"/>
              </w:rPr>
            </w:pPr>
            <w:r w:rsidRPr="001964E7">
              <w:rPr>
                <w:rFonts w:ascii="Gill Sans MT" w:hAnsi="Gill Sans MT" w:cs="Arial"/>
                <w:sz w:val="20"/>
                <w:szCs w:val="20"/>
              </w:rPr>
              <w:t>Minutes Daily ELA</w:t>
            </w:r>
          </w:p>
        </w:tc>
      </w:tr>
      <w:tr w:rsidR="00BE3BCA" w:rsidRPr="00BA35B7" w14:paraId="61813D90" w14:textId="77777777" w:rsidTr="002B482F">
        <w:trPr>
          <w:cantSplit/>
          <w:jc w:val="center"/>
        </w:trPr>
        <w:tc>
          <w:tcPr>
            <w:tcW w:w="11103" w:type="dxa"/>
            <w:gridSpan w:val="7"/>
          </w:tcPr>
          <w:p w14:paraId="1A3E4246" w14:textId="77777777" w:rsidR="00BE3BCA" w:rsidRPr="006F0A6A" w:rsidRDefault="00BE3BCA" w:rsidP="006433AD">
            <w:pPr>
              <w:spacing w:before="120" w:after="31"/>
              <w:jc w:val="center"/>
              <w:rPr>
                <w:rFonts w:ascii="Gill Sans MT" w:hAnsi="Gill Sans MT" w:cs="Arial"/>
                <w:sz w:val="20"/>
                <w:szCs w:val="20"/>
              </w:rPr>
            </w:pPr>
            <w:r w:rsidRPr="00B73A8E">
              <w:rPr>
                <w:rFonts w:ascii="Gill Sans MT" w:hAnsi="Gill Sans MT" w:cs="Arial"/>
                <w:sz w:val="20"/>
                <w:szCs w:val="20"/>
              </w:rPr>
              <w:t>Whole Sample</w:t>
            </w:r>
          </w:p>
        </w:tc>
      </w:tr>
      <w:tr w:rsidR="00BE3BCA" w:rsidRPr="00BA35B7" w14:paraId="09FD2BC5" w14:textId="77777777" w:rsidTr="002B482F">
        <w:trPr>
          <w:cantSplit/>
          <w:jc w:val="center"/>
        </w:trPr>
        <w:tc>
          <w:tcPr>
            <w:tcW w:w="1457" w:type="dxa"/>
            <w:gridSpan w:val="2"/>
            <w:tcBorders>
              <w:right w:val="nil"/>
            </w:tcBorders>
          </w:tcPr>
          <w:p w14:paraId="3623A341" w14:textId="77777777" w:rsidR="00BE3BCA" w:rsidRPr="00BA35B7" w:rsidRDefault="00BE3BCA" w:rsidP="002B482F">
            <w:pPr>
              <w:spacing w:before="31" w:after="31"/>
              <w:jc w:val="center"/>
              <w:rPr>
                <w:rFonts w:ascii="Gill Sans MT" w:hAnsi="Gill Sans MT" w:cs="Arial"/>
                <w:sz w:val="20"/>
                <w:szCs w:val="20"/>
              </w:rPr>
            </w:pPr>
            <w:r w:rsidRPr="00BA35B7">
              <w:rPr>
                <w:rFonts w:ascii="Gill Sans MT" w:hAnsi="Gill Sans MT" w:cs="Arial"/>
                <w:sz w:val="20"/>
                <w:szCs w:val="20"/>
              </w:rPr>
              <w:t>iLit</w:t>
            </w:r>
          </w:p>
          <w:p w14:paraId="103ABFFF" w14:textId="77777777" w:rsidR="00BE3BCA" w:rsidRPr="00BA35B7" w:rsidRDefault="00BE3BCA" w:rsidP="002B482F">
            <w:pPr>
              <w:spacing w:before="31" w:after="31"/>
              <w:jc w:val="center"/>
              <w:rPr>
                <w:rFonts w:ascii="Gill Sans MT" w:hAnsi="Gill Sans MT" w:cs="Arial"/>
                <w:sz w:val="20"/>
                <w:szCs w:val="20"/>
              </w:rPr>
            </w:pPr>
            <w:r w:rsidRPr="00BA35B7">
              <w:rPr>
                <w:rFonts w:ascii="Gill Sans MT" w:hAnsi="Gill Sans MT" w:cs="Arial"/>
                <w:sz w:val="20"/>
                <w:szCs w:val="20"/>
              </w:rPr>
              <w:t>Comparison</w:t>
            </w:r>
          </w:p>
        </w:tc>
        <w:tc>
          <w:tcPr>
            <w:tcW w:w="1262" w:type="dxa"/>
            <w:tcBorders>
              <w:left w:val="nil"/>
              <w:right w:val="nil"/>
            </w:tcBorders>
          </w:tcPr>
          <w:p w14:paraId="38E442C6" w14:textId="77777777" w:rsidR="00BE3BCA" w:rsidRDefault="00576F5B" w:rsidP="002B482F">
            <w:pPr>
              <w:spacing w:before="31" w:after="31"/>
              <w:jc w:val="center"/>
              <w:rPr>
                <w:rFonts w:ascii="Gill Sans MT" w:hAnsi="Gill Sans MT" w:cs="Arial"/>
                <w:sz w:val="20"/>
                <w:szCs w:val="20"/>
              </w:rPr>
            </w:pPr>
            <w:r>
              <w:rPr>
                <w:rFonts w:ascii="Gill Sans MT" w:hAnsi="Gill Sans MT" w:cs="Arial"/>
                <w:sz w:val="20"/>
                <w:szCs w:val="20"/>
              </w:rPr>
              <w:t>8</w:t>
            </w:r>
          </w:p>
          <w:p w14:paraId="27E2750E" w14:textId="77777777" w:rsidR="00BE3BCA" w:rsidRPr="00BA35B7" w:rsidRDefault="00576F5B" w:rsidP="002B482F">
            <w:pPr>
              <w:spacing w:before="31" w:after="31"/>
              <w:jc w:val="center"/>
              <w:rPr>
                <w:rFonts w:ascii="Gill Sans MT" w:hAnsi="Gill Sans MT" w:cs="Arial"/>
                <w:sz w:val="20"/>
                <w:szCs w:val="20"/>
              </w:rPr>
            </w:pPr>
            <w:r>
              <w:rPr>
                <w:rFonts w:ascii="Gill Sans MT" w:hAnsi="Gill Sans MT" w:cs="Arial"/>
                <w:sz w:val="20"/>
                <w:szCs w:val="20"/>
              </w:rPr>
              <w:t>11</w:t>
            </w:r>
          </w:p>
        </w:tc>
        <w:tc>
          <w:tcPr>
            <w:tcW w:w="2430" w:type="dxa"/>
            <w:tcBorders>
              <w:left w:val="nil"/>
              <w:right w:val="nil"/>
            </w:tcBorders>
          </w:tcPr>
          <w:p w14:paraId="35B16CBC" w14:textId="77777777" w:rsidR="00BE3BCA" w:rsidRPr="00BA35B7" w:rsidRDefault="00BE3BCA" w:rsidP="002B482F">
            <w:pPr>
              <w:spacing w:before="62" w:after="31"/>
              <w:jc w:val="center"/>
              <w:rPr>
                <w:rFonts w:ascii="Gill Sans MT" w:hAnsi="Gill Sans MT" w:cs="Arial"/>
                <w:sz w:val="20"/>
                <w:szCs w:val="20"/>
              </w:rPr>
            </w:pPr>
            <w:r>
              <w:rPr>
                <w:rFonts w:ascii="Gill Sans MT" w:hAnsi="Gill Sans MT" w:cs="Arial"/>
                <w:sz w:val="20"/>
                <w:szCs w:val="20"/>
              </w:rPr>
              <w:t>11 CP and 8 iLit classrooms</w:t>
            </w:r>
          </w:p>
        </w:tc>
        <w:tc>
          <w:tcPr>
            <w:tcW w:w="1530" w:type="dxa"/>
            <w:tcBorders>
              <w:left w:val="nil"/>
              <w:right w:val="nil"/>
            </w:tcBorders>
          </w:tcPr>
          <w:p w14:paraId="72A5292F" w14:textId="77777777" w:rsidR="00BE3BCA" w:rsidRDefault="00BE3BCA" w:rsidP="002B482F">
            <w:pPr>
              <w:spacing w:before="31" w:after="31"/>
              <w:jc w:val="center"/>
              <w:rPr>
                <w:rFonts w:ascii="Gill Sans MT" w:hAnsi="Gill Sans MT" w:cs="Arial"/>
                <w:sz w:val="20"/>
                <w:szCs w:val="20"/>
              </w:rPr>
            </w:pPr>
            <w:r>
              <w:rPr>
                <w:rFonts w:ascii="Gill Sans MT" w:hAnsi="Gill Sans MT" w:cs="Arial"/>
                <w:sz w:val="20"/>
                <w:szCs w:val="20"/>
              </w:rPr>
              <w:t>No</w:t>
            </w:r>
          </w:p>
          <w:p w14:paraId="4529D574" w14:textId="77777777" w:rsidR="00BE3BCA" w:rsidRPr="00BA35B7" w:rsidRDefault="00BE3BCA" w:rsidP="002B482F">
            <w:pPr>
              <w:spacing w:before="31" w:after="31"/>
              <w:jc w:val="center"/>
              <w:rPr>
                <w:rFonts w:ascii="Gill Sans MT" w:hAnsi="Gill Sans MT" w:cs="Arial"/>
                <w:sz w:val="20"/>
                <w:szCs w:val="20"/>
              </w:rPr>
            </w:pPr>
            <w:r>
              <w:rPr>
                <w:rFonts w:ascii="Gill Sans MT" w:hAnsi="Gill Sans MT" w:cs="Arial"/>
                <w:sz w:val="20"/>
                <w:szCs w:val="20"/>
              </w:rPr>
              <w:t>Yes</w:t>
            </w:r>
          </w:p>
        </w:tc>
        <w:tc>
          <w:tcPr>
            <w:tcW w:w="3330" w:type="dxa"/>
            <w:tcBorders>
              <w:left w:val="nil"/>
              <w:right w:val="nil"/>
            </w:tcBorders>
          </w:tcPr>
          <w:p w14:paraId="70EE93D6" w14:textId="77777777" w:rsidR="00BE3BCA" w:rsidRPr="009B4713" w:rsidRDefault="00BE3BCA" w:rsidP="002B482F">
            <w:pPr>
              <w:spacing w:before="31" w:after="31"/>
              <w:jc w:val="center"/>
              <w:rPr>
                <w:rFonts w:ascii="Gill Sans MT" w:hAnsi="Gill Sans MT" w:cs="Arial"/>
                <w:sz w:val="20"/>
                <w:szCs w:val="20"/>
              </w:rPr>
            </w:pPr>
            <w:r>
              <w:rPr>
                <w:rFonts w:ascii="Gill Sans MT" w:hAnsi="Gill Sans MT" w:cs="Arial"/>
                <w:sz w:val="20"/>
                <w:szCs w:val="20"/>
              </w:rPr>
              <w:t>100</w:t>
            </w:r>
            <w:r w:rsidRPr="009B4713">
              <w:rPr>
                <w:rFonts w:ascii="Gill Sans MT" w:hAnsi="Gill Sans MT" w:cs="Arial"/>
                <w:sz w:val="20"/>
                <w:szCs w:val="20"/>
              </w:rPr>
              <w:t xml:space="preserve">% </w:t>
            </w:r>
            <w:r>
              <w:rPr>
                <w:rFonts w:ascii="Gill Sans MT" w:hAnsi="Gill Sans MT" w:cs="Arial"/>
                <w:sz w:val="20"/>
                <w:szCs w:val="20"/>
              </w:rPr>
              <w:t xml:space="preserve">iLit </w:t>
            </w:r>
            <w:r w:rsidRPr="009B4713">
              <w:rPr>
                <w:rFonts w:ascii="Gill Sans MT" w:hAnsi="Gill Sans MT" w:cs="Arial"/>
                <w:sz w:val="20"/>
                <w:szCs w:val="20"/>
              </w:rPr>
              <w:t>students</w:t>
            </w:r>
            <w:r>
              <w:rPr>
                <w:rFonts w:ascii="Gill Sans MT" w:hAnsi="Gill Sans MT" w:cs="Arial"/>
                <w:sz w:val="20"/>
                <w:szCs w:val="20"/>
              </w:rPr>
              <w:t xml:space="preserve"> in classrooms with only study students</w:t>
            </w:r>
            <w:r w:rsidRPr="009B4713">
              <w:rPr>
                <w:rFonts w:ascii="Gill Sans MT" w:hAnsi="Gill Sans MT" w:cs="Arial"/>
                <w:sz w:val="20"/>
                <w:szCs w:val="20"/>
              </w:rPr>
              <w:t xml:space="preserve"> </w:t>
            </w:r>
          </w:p>
        </w:tc>
        <w:tc>
          <w:tcPr>
            <w:tcW w:w="1094" w:type="dxa"/>
            <w:tcBorders>
              <w:left w:val="nil"/>
            </w:tcBorders>
          </w:tcPr>
          <w:p w14:paraId="0BAA6AA3" w14:textId="77777777" w:rsidR="00BE3BCA" w:rsidRPr="006F0A6A" w:rsidRDefault="00BE3BCA" w:rsidP="002B482F">
            <w:pPr>
              <w:spacing w:before="31" w:after="31"/>
              <w:jc w:val="center"/>
              <w:rPr>
                <w:rFonts w:ascii="Gill Sans MT" w:hAnsi="Gill Sans MT" w:cs="Arial"/>
                <w:sz w:val="20"/>
                <w:szCs w:val="20"/>
              </w:rPr>
            </w:pPr>
            <w:r w:rsidRPr="006F0A6A">
              <w:rPr>
                <w:rFonts w:ascii="Gill Sans MT" w:hAnsi="Gill Sans MT" w:cs="Arial"/>
                <w:sz w:val="20"/>
                <w:szCs w:val="20"/>
              </w:rPr>
              <w:t>97</w:t>
            </w:r>
          </w:p>
          <w:p w14:paraId="23C9A64A" w14:textId="77777777" w:rsidR="00BE3BCA" w:rsidRPr="006F0A6A" w:rsidRDefault="00BE3BCA" w:rsidP="002B482F">
            <w:pPr>
              <w:spacing w:before="31" w:after="31"/>
              <w:jc w:val="center"/>
              <w:rPr>
                <w:rFonts w:ascii="Gill Sans MT" w:hAnsi="Gill Sans MT" w:cs="Arial"/>
                <w:sz w:val="20"/>
                <w:szCs w:val="20"/>
              </w:rPr>
            </w:pPr>
            <w:r w:rsidRPr="006F0A6A">
              <w:rPr>
                <w:rFonts w:ascii="Gill Sans MT" w:hAnsi="Gill Sans MT" w:cs="Arial"/>
                <w:sz w:val="20"/>
                <w:szCs w:val="20"/>
              </w:rPr>
              <w:t>62</w:t>
            </w:r>
          </w:p>
        </w:tc>
      </w:tr>
      <w:tr w:rsidR="00BE3BCA" w:rsidRPr="00BA35B7" w14:paraId="1269BACB" w14:textId="77777777" w:rsidTr="002B482F">
        <w:trPr>
          <w:cantSplit/>
          <w:jc w:val="center"/>
        </w:trPr>
        <w:tc>
          <w:tcPr>
            <w:tcW w:w="11103" w:type="dxa"/>
            <w:gridSpan w:val="7"/>
          </w:tcPr>
          <w:p w14:paraId="5084D199" w14:textId="77777777" w:rsidR="00BE3BCA" w:rsidRDefault="00BE3BCA" w:rsidP="006433AD">
            <w:pPr>
              <w:spacing w:before="120" w:after="31"/>
              <w:jc w:val="center"/>
              <w:rPr>
                <w:rFonts w:ascii="Gill Sans MT" w:hAnsi="Gill Sans MT" w:cs="Arial"/>
                <w:sz w:val="20"/>
                <w:szCs w:val="20"/>
              </w:rPr>
            </w:pPr>
            <w:r w:rsidRPr="00B73A8E">
              <w:rPr>
                <w:rFonts w:ascii="Gill Sans MT" w:hAnsi="Gill Sans MT" w:cs="Arial"/>
                <w:sz w:val="20"/>
                <w:szCs w:val="20"/>
              </w:rPr>
              <w:t>Arizona District</w:t>
            </w:r>
          </w:p>
        </w:tc>
      </w:tr>
      <w:tr w:rsidR="00BE3BCA" w:rsidRPr="00BA35B7" w14:paraId="43CF0A4E" w14:textId="77777777" w:rsidTr="002B482F">
        <w:trPr>
          <w:cantSplit/>
          <w:jc w:val="center"/>
        </w:trPr>
        <w:tc>
          <w:tcPr>
            <w:tcW w:w="1457" w:type="dxa"/>
            <w:gridSpan w:val="2"/>
            <w:tcBorders>
              <w:right w:val="nil"/>
            </w:tcBorders>
          </w:tcPr>
          <w:p w14:paraId="7D2FB9E9" w14:textId="77777777" w:rsidR="00BE3BCA" w:rsidRPr="00BA35B7" w:rsidRDefault="00BE3BCA" w:rsidP="002B482F">
            <w:pPr>
              <w:spacing w:before="31" w:after="31"/>
              <w:jc w:val="center"/>
              <w:rPr>
                <w:rFonts w:ascii="Gill Sans MT" w:hAnsi="Gill Sans MT" w:cs="Arial"/>
                <w:sz w:val="20"/>
                <w:szCs w:val="20"/>
              </w:rPr>
            </w:pPr>
            <w:r w:rsidRPr="00BA35B7">
              <w:rPr>
                <w:rFonts w:ascii="Gill Sans MT" w:hAnsi="Gill Sans MT" w:cs="Arial"/>
                <w:sz w:val="20"/>
                <w:szCs w:val="20"/>
              </w:rPr>
              <w:t>iLit</w:t>
            </w:r>
          </w:p>
          <w:p w14:paraId="2AFC1A61" w14:textId="77777777" w:rsidR="00BE3BCA" w:rsidRPr="00BA35B7" w:rsidRDefault="00BE3BCA" w:rsidP="002B482F">
            <w:pPr>
              <w:spacing w:before="31" w:after="31"/>
              <w:jc w:val="center"/>
              <w:rPr>
                <w:rFonts w:ascii="Gill Sans MT" w:hAnsi="Gill Sans MT" w:cs="Arial"/>
                <w:sz w:val="20"/>
                <w:szCs w:val="20"/>
              </w:rPr>
            </w:pPr>
            <w:r w:rsidRPr="00BA35B7">
              <w:rPr>
                <w:rFonts w:ascii="Gill Sans MT" w:hAnsi="Gill Sans MT" w:cs="Arial"/>
                <w:sz w:val="20"/>
                <w:szCs w:val="20"/>
              </w:rPr>
              <w:t>Comparison</w:t>
            </w:r>
          </w:p>
        </w:tc>
        <w:tc>
          <w:tcPr>
            <w:tcW w:w="1262" w:type="dxa"/>
            <w:tcBorders>
              <w:left w:val="nil"/>
              <w:right w:val="nil"/>
            </w:tcBorders>
          </w:tcPr>
          <w:p w14:paraId="248CC319" w14:textId="77777777" w:rsidR="00BE3BCA" w:rsidRPr="00BA35B7" w:rsidRDefault="00576F5B" w:rsidP="002B482F">
            <w:pPr>
              <w:spacing w:before="31" w:after="31"/>
              <w:jc w:val="center"/>
              <w:rPr>
                <w:rFonts w:ascii="Gill Sans MT" w:hAnsi="Gill Sans MT" w:cs="Arial"/>
                <w:sz w:val="20"/>
                <w:szCs w:val="20"/>
              </w:rPr>
            </w:pPr>
            <w:r>
              <w:rPr>
                <w:rFonts w:ascii="Gill Sans MT" w:hAnsi="Gill Sans MT" w:cs="Arial"/>
                <w:sz w:val="20"/>
                <w:szCs w:val="20"/>
              </w:rPr>
              <w:t>2</w:t>
            </w:r>
          </w:p>
          <w:p w14:paraId="472550FA" w14:textId="77777777" w:rsidR="00BE3BCA" w:rsidRPr="00BA35B7" w:rsidRDefault="00BE3BCA" w:rsidP="002B482F">
            <w:pPr>
              <w:spacing w:before="31" w:after="31"/>
              <w:jc w:val="center"/>
              <w:rPr>
                <w:rFonts w:ascii="Gill Sans MT" w:hAnsi="Gill Sans MT" w:cs="Arial"/>
                <w:sz w:val="20"/>
                <w:szCs w:val="20"/>
              </w:rPr>
            </w:pPr>
            <w:r w:rsidRPr="00BA35B7">
              <w:rPr>
                <w:rFonts w:ascii="Gill Sans MT" w:hAnsi="Gill Sans MT" w:cs="Arial"/>
                <w:sz w:val="20"/>
                <w:szCs w:val="20"/>
              </w:rPr>
              <w:t>2</w:t>
            </w:r>
          </w:p>
        </w:tc>
        <w:tc>
          <w:tcPr>
            <w:tcW w:w="2430" w:type="dxa"/>
            <w:tcBorders>
              <w:left w:val="nil"/>
              <w:right w:val="nil"/>
            </w:tcBorders>
          </w:tcPr>
          <w:p w14:paraId="7DA057D0" w14:textId="77777777" w:rsidR="00BE3BCA" w:rsidRPr="00BA35B7" w:rsidRDefault="00BE3BCA" w:rsidP="002B482F">
            <w:pPr>
              <w:spacing w:before="124" w:after="31"/>
              <w:jc w:val="center"/>
              <w:rPr>
                <w:rFonts w:ascii="Gill Sans MT" w:hAnsi="Gill Sans MT" w:cs="Arial"/>
                <w:sz w:val="20"/>
                <w:szCs w:val="20"/>
              </w:rPr>
            </w:pPr>
            <w:r>
              <w:rPr>
                <w:rFonts w:ascii="Gill Sans MT" w:hAnsi="Gill Sans MT" w:cs="Arial"/>
                <w:sz w:val="20"/>
                <w:szCs w:val="20"/>
              </w:rPr>
              <w:t>4 different teachers</w:t>
            </w:r>
          </w:p>
        </w:tc>
        <w:tc>
          <w:tcPr>
            <w:tcW w:w="1530" w:type="dxa"/>
            <w:tcBorders>
              <w:left w:val="nil"/>
              <w:right w:val="nil"/>
            </w:tcBorders>
          </w:tcPr>
          <w:p w14:paraId="0B55D455" w14:textId="77777777" w:rsidR="00BE3BCA" w:rsidRDefault="00BE3BCA" w:rsidP="002B482F">
            <w:pPr>
              <w:spacing w:before="31" w:after="31"/>
              <w:jc w:val="center"/>
              <w:rPr>
                <w:rFonts w:ascii="Gill Sans MT" w:hAnsi="Gill Sans MT" w:cs="Arial"/>
                <w:sz w:val="20"/>
                <w:szCs w:val="20"/>
              </w:rPr>
            </w:pPr>
            <w:r>
              <w:rPr>
                <w:rFonts w:ascii="Gill Sans MT" w:hAnsi="Gill Sans MT" w:cs="Arial"/>
                <w:sz w:val="20"/>
                <w:szCs w:val="20"/>
              </w:rPr>
              <w:t>No</w:t>
            </w:r>
          </w:p>
          <w:p w14:paraId="76BF6777" w14:textId="77777777" w:rsidR="00BE3BCA" w:rsidRPr="00BA35B7" w:rsidRDefault="00BE3BCA" w:rsidP="002B482F">
            <w:pPr>
              <w:spacing w:before="31" w:after="31"/>
              <w:jc w:val="center"/>
              <w:rPr>
                <w:rFonts w:ascii="Gill Sans MT" w:hAnsi="Gill Sans MT" w:cs="Arial"/>
                <w:sz w:val="20"/>
                <w:szCs w:val="20"/>
              </w:rPr>
            </w:pPr>
            <w:r>
              <w:rPr>
                <w:rFonts w:ascii="Gill Sans MT" w:hAnsi="Gill Sans MT" w:cs="Arial"/>
                <w:sz w:val="20"/>
                <w:szCs w:val="20"/>
              </w:rPr>
              <w:t>Yes</w:t>
            </w:r>
          </w:p>
        </w:tc>
        <w:tc>
          <w:tcPr>
            <w:tcW w:w="3330" w:type="dxa"/>
            <w:tcBorders>
              <w:left w:val="nil"/>
              <w:right w:val="nil"/>
            </w:tcBorders>
          </w:tcPr>
          <w:p w14:paraId="27F12EFA" w14:textId="77777777" w:rsidR="00BE3BCA" w:rsidRPr="00BA35B7" w:rsidRDefault="00BE3BCA" w:rsidP="002B482F">
            <w:pPr>
              <w:spacing w:before="31" w:after="31"/>
              <w:jc w:val="center"/>
              <w:rPr>
                <w:rFonts w:ascii="Gill Sans MT" w:hAnsi="Gill Sans MT" w:cs="Arial"/>
                <w:sz w:val="20"/>
                <w:szCs w:val="20"/>
              </w:rPr>
            </w:pPr>
            <w:r>
              <w:rPr>
                <w:rFonts w:ascii="Gill Sans MT" w:hAnsi="Gill Sans MT" w:cs="Arial"/>
                <w:sz w:val="20"/>
                <w:szCs w:val="20"/>
              </w:rPr>
              <w:t>CP classrooms about 50% study students</w:t>
            </w:r>
          </w:p>
        </w:tc>
        <w:tc>
          <w:tcPr>
            <w:tcW w:w="1094" w:type="dxa"/>
            <w:tcBorders>
              <w:left w:val="nil"/>
            </w:tcBorders>
          </w:tcPr>
          <w:p w14:paraId="6AA3F247" w14:textId="77777777" w:rsidR="00BE3BCA" w:rsidRDefault="00BE3BCA" w:rsidP="002B482F">
            <w:pPr>
              <w:spacing w:before="31" w:after="31"/>
              <w:jc w:val="center"/>
              <w:rPr>
                <w:rFonts w:ascii="Gill Sans MT" w:hAnsi="Gill Sans MT" w:cs="Arial"/>
                <w:sz w:val="20"/>
                <w:szCs w:val="20"/>
              </w:rPr>
            </w:pPr>
            <w:r>
              <w:rPr>
                <w:rFonts w:ascii="Gill Sans MT" w:hAnsi="Gill Sans MT" w:cs="Arial"/>
                <w:sz w:val="20"/>
                <w:szCs w:val="20"/>
              </w:rPr>
              <w:t>138</w:t>
            </w:r>
          </w:p>
          <w:p w14:paraId="2E92763F" w14:textId="77777777" w:rsidR="00BE3BCA" w:rsidRPr="00BA35B7" w:rsidRDefault="00BE3BCA" w:rsidP="002B482F">
            <w:pPr>
              <w:spacing w:before="31" w:after="31"/>
              <w:jc w:val="center"/>
              <w:rPr>
                <w:rFonts w:ascii="Gill Sans MT" w:hAnsi="Gill Sans MT" w:cs="Arial"/>
                <w:sz w:val="20"/>
                <w:szCs w:val="20"/>
              </w:rPr>
            </w:pPr>
            <w:r>
              <w:rPr>
                <w:rFonts w:ascii="Gill Sans MT" w:hAnsi="Gill Sans MT" w:cs="Arial"/>
                <w:sz w:val="20"/>
                <w:szCs w:val="20"/>
              </w:rPr>
              <w:t>71</w:t>
            </w:r>
          </w:p>
        </w:tc>
      </w:tr>
      <w:tr w:rsidR="00BE3BCA" w:rsidRPr="00BA35B7" w14:paraId="25A6E94E" w14:textId="77777777" w:rsidTr="002B482F">
        <w:trPr>
          <w:cantSplit/>
          <w:jc w:val="center"/>
        </w:trPr>
        <w:tc>
          <w:tcPr>
            <w:tcW w:w="11103" w:type="dxa"/>
            <w:gridSpan w:val="7"/>
          </w:tcPr>
          <w:p w14:paraId="78CB2DBF" w14:textId="77777777" w:rsidR="00BE3BCA" w:rsidRDefault="00BE3BCA" w:rsidP="006433AD">
            <w:pPr>
              <w:spacing w:before="120" w:after="31"/>
              <w:jc w:val="center"/>
              <w:rPr>
                <w:rFonts w:ascii="Gill Sans MT" w:hAnsi="Gill Sans MT" w:cs="Arial"/>
                <w:sz w:val="20"/>
                <w:szCs w:val="20"/>
              </w:rPr>
            </w:pPr>
            <w:r w:rsidRPr="00260143">
              <w:rPr>
                <w:rFonts w:ascii="Gill Sans MT" w:hAnsi="Gill Sans MT" w:cs="Arial"/>
                <w:sz w:val="20"/>
                <w:szCs w:val="20"/>
              </w:rPr>
              <w:t>California District</w:t>
            </w:r>
          </w:p>
        </w:tc>
      </w:tr>
      <w:tr w:rsidR="00BE3BCA" w:rsidRPr="00BA35B7" w14:paraId="1C69C133" w14:textId="77777777" w:rsidTr="002B482F">
        <w:trPr>
          <w:cantSplit/>
          <w:jc w:val="center"/>
        </w:trPr>
        <w:tc>
          <w:tcPr>
            <w:tcW w:w="1457" w:type="dxa"/>
            <w:gridSpan w:val="2"/>
            <w:tcBorders>
              <w:right w:val="nil"/>
            </w:tcBorders>
          </w:tcPr>
          <w:p w14:paraId="0F5124FD" w14:textId="77777777" w:rsidR="00BE3BCA" w:rsidRPr="00BA35B7" w:rsidRDefault="00BE3BCA" w:rsidP="002B482F">
            <w:pPr>
              <w:spacing w:before="31" w:after="31"/>
              <w:jc w:val="center"/>
              <w:rPr>
                <w:rFonts w:ascii="Gill Sans MT" w:hAnsi="Gill Sans MT" w:cs="Arial"/>
                <w:sz w:val="20"/>
                <w:szCs w:val="20"/>
              </w:rPr>
            </w:pPr>
            <w:r w:rsidRPr="00BA35B7">
              <w:rPr>
                <w:rFonts w:ascii="Gill Sans MT" w:hAnsi="Gill Sans MT" w:cs="Arial"/>
                <w:sz w:val="20"/>
                <w:szCs w:val="20"/>
              </w:rPr>
              <w:t>iLit</w:t>
            </w:r>
          </w:p>
          <w:p w14:paraId="3704B49C" w14:textId="77777777" w:rsidR="00BE3BCA" w:rsidRPr="00BA35B7" w:rsidRDefault="00BE3BCA" w:rsidP="002B482F">
            <w:pPr>
              <w:spacing w:before="31" w:after="31"/>
              <w:jc w:val="center"/>
              <w:rPr>
                <w:rFonts w:ascii="Gill Sans MT" w:hAnsi="Gill Sans MT" w:cs="Arial"/>
                <w:sz w:val="20"/>
                <w:szCs w:val="20"/>
              </w:rPr>
            </w:pPr>
            <w:r w:rsidRPr="00BA35B7">
              <w:rPr>
                <w:rFonts w:ascii="Gill Sans MT" w:hAnsi="Gill Sans MT" w:cs="Arial"/>
                <w:sz w:val="20"/>
                <w:szCs w:val="20"/>
              </w:rPr>
              <w:t>Comparison</w:t>
            </w:r>
          </w:p>
        </w:tc>
        <w:tc>
          <w:tcPr>
            <w:tcW w:w="1262" w:type="dxa"/>
            <w:tcBorders>
              <w:left w:val="nil"/>
              <w:right w:val="nil"/>
            </w:tcBorders>
          </w:tcPr>
          <w:p w14:paraId="4A918F13" w14:textId="77777777" w:rsidR="00BE3BCA" w:rsidRPr="00BA35B7" w:rsidRDefault="00576F5B" w:rsidP="002B482F">
            <w:pPr>
              <w:spacing w:before="31" w:after="31"/>
              <w:jc w:val="center"/>
              <w:rPr>
                <w:rFonts w:ascii="Gill Sans MT" w:hAnsi="Gill Sans MT" w:cs="Arial"/>
                <w:sz w:val="20"/>
                <w:szCs w:val="20"/>
              </w:rPr>
            </w:pPr>
            <w:r>
              <w:rPr>
                <w:rFonts w:ascii="Gill Sans MT" w:hAnsi="Gill Sans MT" w:cs="Arial"/>
                <w:sz w:val="20"/>
                <w:szCs w:val="20"/>
              </w:rPr>
              <w:t>1</w:t>
            </w:r>
          </w:p>
          <w:p w14:paraId="4D2AB3E7" w14:textId="77777777" w:rsidR="00BE3BCA" w:rsidRPr="00BA35B7" w:rsidRDefault="00BE3BCA" w:rsidP="002B482F">
            <w:pPr>
              <w:spacing w:before="31" w:after="31"/>
              <w:jc w:val="center"/>
              <w:rPr>
                <w:rFonts w:ascii="Gill Sans MT" w:hAnsi="Gill Sans MT" w:cs="Arial"/>
                <w:sz w:val="20"/>
                <w:szCs w:val="20"/>
              </w:rPr>
            </w:pPr>
            <w:r w:rsidRPr="00BA35B7">
              <w:rPr>
                <w:rFonts w:ascii="Gill Sans MT" w:hAnsi="Gill Sans MT" w:cs="Arial"/>
                <w:sz w:val="20"/>
                <w:szCs w:val="20"/>
              </w:rPr>
              <w:t>1</w:t>
            </w:r>
          </w:p>
        </w:tc>
        <w:tc>
          <w:tcPr>
            <w:tcW w:w="2430" w:type="dxa"/>
            <w:tcBorders>
              <w:left w:val="nil"/>
              <w:right w:val="nil"/>
            </w:tcBorders>
          </w:tcPr>
          <w:p w14:paraId="7A448340" w14:textId="77777777" w:rsidR="00BE3BCA" w:rsidRPr="00BA35B7" w:rsidRDefault="00BE3BCA" w:rsidP="002B482F">
            <w:pPr>
              <w:spacing w:before="124" w:after="31"/>
              <w:jc w:val="center"/>
              <w:rPr>
                <w:rFonts w:ascii="Gill Sans MT" w:hAnsi="Gill Sans MT" w:cs="Arial"/>
                <w:sz w:val="20"/>
                <w:szCs w:val="20"/>
              </w:rPr>
            </w:pPr>
            <w:r>
              <w:rPr>
                <w:rFonts w:ascii="Gill Sans MT" w:hAnsi="Gill Sans MT" w:cs="Arial"/>
                <w:sz w:val="20"/>
                <w:szCs w:val="20"/>
              </w:rPr>
              <w:t>2 different teachers</w:t>
            </w:r>
          </w:p>
        </w:tc>
        <w:tc>
          <w:tcPr>
            <w:tcW w:w="1530" w:type="dxa"/>
            <w:tcBorders>
              <w:left w:val="nil"/>
              <w:right w:val="nil"/>
            </w:tcBorders>
          </w:tcPr>
          <w:p w14:paraId="316C2264" w14:textId="77777777" w:rsidR="00BE3BCA" w:rsidRDefault="00BE3BCA" w:rsidP="002B482F">
            <w:pPr>
              <w:spacing w:before="31" w:after="31"/>
              <w:jc w:val="center"/>
              <w:rPr>
                <w:rFonts w:ascii="Gill Sans MT" w:hAnsi="Gill Sans MT" w:cs="Arial"/>
                <w:sz w:val="20"/>
                <w:szCs w:val="20"/>
              </w:rPr>
            </w:pPr>
            <w:r>
              <w:rPr>
                <w:rFonts w:ascii="Gill Sans MT" w:hAnsi="Gill Sans MT" w:cs="Arial"/>
                <w:sz w:val="20"/>
                <w:szCs w:val="20"/>
              </w:rPr>
              <w:t>No</w:t>
            </w:r>
          </w:p>
          <w:p w14:paraId="1C701EC9" w14:textId="77777777" w:rsidR="00BE3BCA" w:rsidRPr="00BA35B7" w:rsidRDefault="00BE3BCA" w:rsidP="002B482F">
            <w:pPr>
              <w:spacing w:before="31" w:after="31"/>
              <w:jc w:val="center"/>
              <w:rPr>
                <w:rFonts w:ascii="Gill Sans MT" w:hAnsi="Gill Sans MT" w:cs="Arial"/>
                <w:sz w:val="20"/>
                <w:szCs w:val="20"/>
              </w:rPr>
            </w:pPr>
            <w:r>
              <w:rPr>
                <w:rFonts w:ascii="Gill Sans MT" w:hAnsi="Gill Sans MT" w:cs="Arial"/>
                <w:sz w:val="20"/>
                <w:szCs w:val="20"/>
              </w:rPr>
              <w:t>No</w:t>
            </w:r>
          </w:p>
        </w:tc>
        <w:tc>
          <w:tcPr>
            <w:tcW w:w="3330" w:type="dxa"/>
            <w:tcBorders>
              <w:left w:val="nil"/>
              <w:right w:val="nil"/>
            </w:tcBorders>
          </w:tcPr>
          <w:p w14:paraId="1459D14D" w14:textId="77777777" w:rsidR="00BE3BCA" w:rsidRPr="00BA35B7" w:rsidRDefault="00BE3BCA" w:rsidP="002B482F">
            <w:pPr>
              <w:spacing w:before="31" w:after="31"/>
              <w:jc w:val="center"/>
              <w:rPr>
                <w:rFonts w:ascii="Gill Sans MT" w:hAnsi="Gill Sans MT" w:cs="Arial"/>
                <w:sz w:val="20"/>
                <w:szCs w:val="20"/>
              </w:rPr>
            </w:pPr>
            <w:r>
              <w:rPr>
                <w:rFonts w:ascii="Gill Sans MT" w:hAnsi="Gill Sans MT" w:cs="Arial"/>
                <w:sz w:val="20"/>
                <w:szCs w:val="20"/>
              </w:rPr>
              <w:t>Only study students in both classrooms</w:t>
            </w:r>
          </w:p>
        </w:tc>
        <w:tc>
          <w:tcPr>
            <w:tcW w:w="1094" w:type="dxa"/>
            <w:tcBorders>
              <w:left w:val="nil"/>
            </w:tcBorders>
          </w:tcPr>
          <w:p w14:paraId="54BF2700" w14:textId="77777777" w:rsidR="00BE3BCA" w:rsidRDefault="00BE3BCA" w:rsidP="002B482F">
            <w:pPr>
              <w:spacing w:before="31" w:after="31"/>
              <w:jc w:val="center"/>
              <w:rPr>
                <w:rFonts w:ascii="Gill Sans MT" w:hAnsi="Gill Sans MT" w:cs="Arial"/>
                <w:sz w:val="20"/>
                <w:szCs w:val="20"/>
              </w:rPr>
            </w:pPr>
            <w:r>
              <w:rPr>
                <w:rFonts w:ascii="Gill Sans MT" w:hAnsi="Gill Sans MT" w:cs="Arial"/>
                <w:sz w:val="20"/>
                <w:szCs w:val="20"/>
              </w:rPr>
              <w:t>90</w:t>
            </w:r>
          </w:p>
          <w:p w14:paraId="44481566" w14:textId="77777777" w:rsidR="00BE3BCA" w:rsidRPr="00BA35B7" w:rsidRDefault="00BE3BCA" w:rsidP="002B482F">
            <w:pPr>
              <w:spacing w:before="31" w:after="31"/>
              <w:jc w:val="center"/>
              <w:rPr>
                <w:rFonts w:ascii="Gill Sans MT" w:hAnsi="Gill Sans MT" w:cs="Arial"/>
                <w:sz w:val="20"/>
                <w:szCs w:val="20"/>
              </w:rPr>
            </w:pPr>
            <w:r>
              <w:rPr>
                <w:rFonts w:ascii="Gill Sans MT" w:hAnsi="Gill Sans MT" w:cs="Arial"/>
                <w:sz w:val="20"/>
                <w:szCs w:val="20"/>
              </w:rPr>
              <w:t>90</w:t>
            </w:r>
          </w:p>
        </w:tc>
      </w:tr>
      <w:tr w:rsidR="00BE3BCA" w:rsidRPr="00BA35B7" w14:paraId="5973889C" w14:textId="77777777" w:rsidTr="002B482F">
        <w:trPr>
          <w:cantSplit/>
          <w:jc w:val="center"/>
        </w:trPr>
        <w:tc>
          <w:tcPr>
            <w:tcW w:w="11103" w:type="dxa"/>
            <w:gridSpan w:val="7"/>
          </w:tcPr>
          <w:p w14:paraId="20257E85" w14:textId="77777777" w:rsidR="00BE3BCA" w:rsidRDefault="00BE3BCA" w:rsidP="006433AD">
            <w:pPr>
              <w:spacing w:before="120" w:after="31"/>
              <w:jc w:val="center"/>
              <w:rPr>
                <w:rFonts w:ascii="Gill Sans MT" w:hAnsi="Gill Sans MT" w:cs="Arial"/>
                <w:sz w:val="20"/>
                <w:szCs w:val="20"/>
              </w:rPr>
            </w:pPr>
            <w:r w:rsidRPr="00260143">
              <w:rPr>
                <w:rFonts w:ascii="Gill Sans MT" w:hAnsi="Gill Sans MT" w:cs="Arial"/>
                <w:sz w:val="20"/>
                <w:szCs w:val="20"/>
              </w:rPr>
              <w:t>Colorado District</w:t>
            </w:r>
          </w:p>
        </w:tc>
      </w:tr>
      <w:tr w:rsidR="00BE3BCA" w:rsidRPr="00BA35B7" w14:paraId="3603A5C1" w14:textId="77777777" w:rsidTr="002B482F">
        <w:trPr>
          <w:cantSplit/>
          <w:jc w:val="center"/>
        </w:trPr>
        <w:tc>
          <w:tcPr>
            <w:tcW w:w="1457" w:type="dxa"/>
            <w:gridSpan w:val="2"/>
            <w:tcBorders>
              <w:right w:val="nil"/>
            </w:tcBorders>
          </w:tcPr>
          <w:p w14:paraId="404CAFC6" w14:textId="77777777" w:rsidR="00BE3BCA" w:rsidRPr="00BA35B7" w:rsidRDefault="00BE3BCA" w:rsidP="002B482F">
            <w:pPr>
              <w:spacing w:before="31" w:after="31"/>
              <w:jc w:val="center"/>
              <w:rPr>
                <w:rFonts w:ascii="Gill Sans MT" w:hAnsi="Gill Sans MT" w:cs="Arial"/>
                <w:sz w:val="20"/>
                <w:szCs w:val="20"/>
              </w:rPr>
            </w:pPr>
            <w:r w:rsidRPr="00BA35B7">
              <w:rPr>
                <w:rFonts w:ascii="Gill Sans MT" w:hAnsi="Gill Sans MT" w:cs="Arial"/>
                <w:sz w:val="20"/>
                <w:szCs w:val="20"/>
              </w:rPr>
              <w:t>iLit</w:t>
            </w:r>
          </w:p>
          <w:p w14:paraId="5900165F" w14:textId="77777777" w:rsidR="00BE3BCA" w:rsidRPr="00BA35B7" w:rsidRDefault="00BE3BCA" w:rsidP="002B482F">
            <w:pPr>
              <w:spacing w:before="31" w:after="31"/>
              <w:jc w:val="center"/>
              <w:rPr>
                <w:rFonts w:ascii="Gill Sans MT" w:hAnsi="Gill Sans MT" w:cs="Arial"/>
                <w:sz w:val="20"/>
                <w:szCs w:val="20"/>
              </w:rPr>
            </w:pPr>
            <w:r w:rsidRPr="00BA35B7">
              <w:rPr>
                <w:rFonts w:ascii="Gill Sans MT" w:hAnsi="Gill Sans MT" w:cs="Arial"/>
                <w:sz w:val="20"/>
                <w:szCs w:val="20"/>
              </w:rPr>
              <w:t>Comparison</w:t>
            </w:r>
          </w:p>
        </w:tc>
        <w:tc>
          <w:tcPr>
            <w:tcW w:w="1262" w:type="dxa"/>
            <w:tcBorders>
              <w:left w:val="nil"/>
              <w:right w:val="nil"/>
            </w:tcBorders>
          </w:tcPr>
          <w:p w14:paraId="73671360" w14:textId="77777777" w:rsidR="00BE3BCA" w:rsidRPr="00BA35B7" w:rsidRDefault="00576F5B" w:rsidP="002B482F">
            <w:pPr>
              <w:spacing w:before="31" w:after="31"/>
              <w:jc w:val="center"/>
              <w:rPr>
                <w:rFonts w:ascii="Gill Sans MT" w:hAnsi="Gill Sans MT" w:cs="Arial"/>
                <w:sz w:val="20"/>
                <w:szCs w:val="20"/>
              </w:rPr>
            </w:pPr>
            <w:r>
              <w:rPr>
                <w:rFonts w:ascii="Gill Sans MT" w:hAnsi="Gill Sans MT" w:cs="Arial"/>
                <w:sz w:val="20"/>
                <w:szCs w:val="20"/>
              </w:rPr>
              <w:t>1</w:t>
            </w:r>
          </w:p>
          <w:p w14:paraId="545F340C" w14:textId="77777777" w:rsidR="00BE3BCA" w:rsidRPr="00BA35B7" w:rsidRDefault="00576F5B" w:rsidP="002B482F">
            <w:pPr>
              <w:spacing w:before="31" w:after="31"/>
              <w:jc w:val="center"/>
              <w:rPr>
                <w:rFonts w:ascii="Gill Sans MT" w:hAnsi="Gill Sans MT" w:cs="Arial"/>
                <w:sz w:val="20"/>
                <w:szCs w:val="20"/>
              </w:rPr>
            </w:pPr>
            <w:r>
              <w:rPr>
                <w:rFonts w:ascii="Gill Sans MT" w:hAnsi="Gill Sans MT" w:cs="Arial"/>
                <w:sz w:val="20"/>
                <w:szCs w:val="20"/>
              </w:rPr>
              <w:t>1</w:t>
            </w:r>
          </w:p>
        </w:tc>
        <w:tc>
          <w:tcPr>
            <w:tcW w:w="2430" w:type="dxa"/>
            <w:tcBorders>
              <w:left w:val="nil"/>
              <w:right w:val="nil"/>
            </w:tcBorders>
          </w:tcPr>
          <w:p w14:paraId="635C9908" w14:textId="77777777" w:rsidR="00BE3BCA" w:rsidRPr="00BA35B7" w:rsidRDefault="00BE3BCA" w:rsidP="002B482F">
            <w:pPr>
              <w:spacing w:before="124" w:after="31"/>
              <w:jc w:val="center"/>
              <w:rPr>
                <w:rFonts w:ascii="Gill Sans MT" w:hAnsi="Gill Sans MT" w:cs="Arial"/>
                <w:sz w:val="20"/>
                <w:szCs w:val="20"/>
              </w:rPr>
            </w:pPr>
            <w:r>
              <w:rPr>
                <w:rFonts w:ascii="Gill Sans MT" w:hAnsi="Gill Sans MT" w:cs="Arial"/>
                <w:sz w:val="20"/>
                <w:szCs w:val="20"/>
              </w:rPr>
              <w:t>2 different teachers</w:t>
            </w:r>
          </w:p>
        </w:tc>
        <w:tc>
          <w:tcPr>
            <w:tcW w:w="1530" w:type="dxa"/>
            <w:tcBorders>
              <w:left w:val="nil"/>
              <w:right w:val="nil"/>
            </w:tcBorders>
          </w:tcPr>
          <w:p w14:paraId="7267BE97" w14:textId="77777777" w:rsidR="00BE3BCA" w:rsidRDefault="00BE3BCA" w:rsidP="002B482F">
            <w:pPr>
              <w:spacing w:before="31" w:after="31"/>
              <w:jc w:val="center"/>
              <w:rPr>
                <w:rFonts w:ascii="Gill Sans MT" w:hAnsi="Gill Sans MT" w:cs="Arial"/>
                <w:sz w:val="20"/>
                <w:szCs w:val="20"/>
              </w:rPr>
            </w:pPr>
            <w:r>
              <w:rPr>
                <w:rFonts w:ascii="Gill Sans MT" w:hAnsi="Gill Sans MT" w:cs="Arial"/>
                <w:sz w:val="20"/>
                <w:szCs w:val="20"/>
              </w:rPr>
              <w:t>No</w:t>
            </w:r>
          </w:p>
          <w:p w14:paraId="11079C45" w14:textId="77777777" w:rsidR="00BE3BCA" w:rsidRPr="00BA35B7" w:rsidRDefault="00BE3BCA" w:rsidP="002B482F">
            <w:pPr>
              <w:spacing w:before="31" w:after="31"/>
              <w:jc w:val="center"/>
              <w:rPr>
                <w:rFonts w:ascii="Gill Sans MT" w:hAnsi="Gill Sans MT" w:cs="Arial"/>
                <w:sz w:val="20"/>
                <w:szCs w:val="20"/>
              </w:rPr>
            </w:pPr>
            <w:r>
              <w:rPr>
                <w:rFonts w:ascii="Gill Sans MT" w:hAnsi="Gill Sans MT" w:cs="Arial"/>
                <w:sz w:val="20"/>
                <w:szCs w:val="20"/>
              </w:rPr>
              <w:t>No</w:t>
            </w:r>
          </w:p>
        </w:tc>
        <w:tc>
          <w:tcPr>
            <w:tcW w:w="3330" w:type="dxa"/>
            <w:tcBorders>
              <w:left w:val="nil"/>
              <w:right w:val="nil"/>
            </w:tcBorders>
          </w:tcPr>
          <w:p w14:paraId="6C02CED1" w14:textId="77777777" w:rsidR="00BE3BCA" w:rsidRPr="00BA35B7" w:rsidRDefault="00BE3BCA" w:rsidP="002B482F">
            <w:pPr>
              <w:spacing w:before="31" w:after="31"/>
              <w:jc w:val="center"/>
              <w:rPr>
                <w:rFonts w:ascii="Gill Sans MT" w:hAnsi="Gill Sans MT" w:cs="Arial"/>
                <w:sz w:val="20"/>
                <w:szCs w:val="20"/>
              </w:rPr>
            </w:pPr>
            <w:r>
              <w:rPr>
                <w:rFonts w:ascii="Gill Sans MT" w:hAnsi="Gill Sans MT" w:cs="Arial"/>
                <w:sz w:val="20"/>
                <w:szCs w:val="20"/>
              </w:rPr>
              <w:t>Only study students in both classrooms</w:t>
            </w:r>
          </w:p>
        </w:tc>
        <w:tc>
          <w:tcPr>
            <w:tcW w:w="1094" w:type="dxa"/>
            <w:tcBorders>
              <w:left w:val="nil"/>
            </w:tcBorders>
          </w:tcPr>
          <w:p w14:paraId="42C51A44" w14:textId="77777777" w:rsidR="00BE3BCA" w:rsidRDefault="00BE3BCA" w:rsidP="002B482F">
            <w:pPr>
              <w:spacing w:before="31" w:after="31"/>
              <w:jc w:val="center"/>
              <w:rPr>
                <w:rFonts w:ascii="Gill Sans MT" w:hAnsi="Gill Sans MT" w:cs="Arial"/>
                <w:sz w:val="20"/>
                <w:szCs w:val="20"/>
              </w:rPr>
            </w:pPr>
            <w:r>
              <w:rPr>
                <w:rFonts w:ascii="Gill Sans MT" w:hAnsi="Gill Sans MT" w:cs="Arial"/>
                <w:sz w:val="20"/>
                <w:szCs w:val="20"/>
              </w:rPr>
              <w:t>90</w:t>
            </w:r>
          </w:p>
          <w:p w14:paraId="1E8D83BD" w14:textId="77777777" w:rsidR="00BE3BCA" w:rsidRPr="00BA35B7" w:rsidRDefault="00BE3BCA" w:rsidP="002B482F">
            <w:pPr>
              <w:spacing w:before="31" w:after="31"/>
              <w:jc w:val="center"/>
              <w:rPr>
                <w:rFonts w:ascii="Gill Sans MT" w:hAnsi="Gill Sans MT" w:cs="Arial"/>
                <w:sz w:val="20"/>
                <w:szCs w:val="20"/>
              </w:rPr>
            </w:pPr>
            <w:r>
              <w:rPr>
                <w:rFonts w:ascii="Gill Sans MT" w:hAnsi="Gill Sans MT" w:cs="Arial"/>
                <w:sz w:val="20"/>
                <w:szCs w:val="20"/>
              </w:rPr>
              <w:t>50</w:t>
            </w:r>
          </w:p>
        </w:tc>
      </w:tr>
      <w:tr w:rsidR="00BE3BCA" w:rsidRPr="00BA35B7" w14:paraId="5F6C55C7" w14:textId="77777777" w:rsidTr="002B482F">
        <w:trPr>
          <w:cantSplit/>
          <w:jc w:val="center"/>
        </w:trPr>
        <w:tc>
          <w:tcPr>
            <w:tcW w:w="11103" w:type="dxa"/>
            <w:gridSpan w:val="7"/>
          </w:tcPr>
          <w:p w14:paraId="44FAAA84" w14:textId="77777777" w:rsidR="00BE3BCA" w:rsidRDefault="00BE3BCA" w:rsidP="006433AD">
            <w:pPr>
              <w:spacing w:before="120" w:after="31"/>
              <w:jc w:val="center"/>
              <w:rPr>
                <w:rFonts w:ascii="Gill Sans MT" w:hAnsi="Gill Sans MT" w:cs="Arial"/>
                <w:sz w:val="20"/>
                <w:szCs w:val="20"/>
              </w:rPr>
            </w:pPr>
            <w:r w:rsidRPr="00260143">
              <w:rPr>
                <w:rFonts w:ascii="Gill Sans MT" w:hAnsi="Gill Sans MT" w:cs="Arial"/>
                <w:sz w:val="20"/>
                <w:szCs w:val="20"/>
              </w:rPr>
              <w:t>Michigan District</w:t>
            </w:r>
          </w:p>
        </w:tc>
      </w:tr>
      <w:tr w:rsidR="00BE3BCA" w:rsidRPr="00BA35B7" w14:paraId="7E9D7A5C" w14:textId="77777777" w:rsidTr="002B482F">
        <w:trPr>
          <w:cantSplit/>
          <w:jc w:val="center"/>
        </w:trPr>
        <w:tc>
          <w:tcPr>
            <w:tcW w:w="1457" w:type="dxa"/>
            <w:gridSpan w:val="2"/>
            <w:tcBorders>
              <w:right w:val="nil"/>
            </w:tcBorders>
          </w:tcPr>
          <w:p w14:paraId="5A23AC9A" w14:textId="77777777" w:rsidR="00BE3BCA" w:rsidRPr="00BA35B7" w:rsidRDefault="00BE3BCA" w:rsidP="002B482F">
            <w:pPr>
              <w:spacing w:before="31" w:after="31"/>
              <w:jc w:val="center"/>
              <w:rPr>
                <w:rFonts w:ascii="Gill Sans MT" w:hAnsi="Gill Sans MT" w:cs="Arial"/>
                <w:sz w:val="20"/>
                <w:szCs w:val="20"/>
              </w:rPr>
            </w:pPr>
            <w:r w:rsidRPr="00BA35B7">
              <w:rPr>
                <w:rFonts w:ascii="Gill Sans MT" w:hAnsi="Gill Sans MT" w:cs="Arial"/>
                <w:sz w:val="20"/>
                <w:szCs w:val="20"/>
              </w:rPr>
              <w:t>iLit</w:t>
            </w:r>
          </w:p>
          <w:p w14:paraId="25A16CB5" w14:textId="77777777" w:rsidR="00BE3BCA" w:rsidRPr="00BA35B7" w:rsidRDefault="00BE3BCA" w:rsidP="002B482F">
            <w:pPr>
              <w:spacing w:before="31" w:after="31"/>
              <w:jc w:val="center"/>
              <w:rPr>
                <w:rFonts w:ascii="Gill Sans MT" w:hAnsi="Gill Sans MT" w:cs="Arial"/>
                <w:sz w:val="20"/>
                <w:szCs w:val="20"/>
              </w:rPr>
            </w:pPr>
            <w:r w:rsidRPr="00BA35B7">
              <w:rPr>
                <w:rFonts w:ascii="Gill Sans MT" w:hAnsi="Gill Sans MT" w:cs="Arial"/>
                <w:sz w:val="20"/>
                <w:szCs w:val="20"/>
              </w:rPr>
              <w:t>Comparison</w:t>
            </w:r>
          </w:p>
        </w:tc>
        <w:tc>
          <w:tcPr>
            <w:tcW w:w="1262" w:type="dxa"/>
            <w:tcBorders>
              <w:left w:val="nil"/>
              <w:right w:val="nil"/>
            </w:tcBorders>
          </w:tcPr>
          <w:p w14:paraId="3CD430A6" w14:textId="77777777" w:rsidR="00BE3BCA" w:rsidRPr="00BA35B7" w:rsidRDefault="00576F5B" w:rsidP="002B482F">
            <w:pPr>
              <w:spacing w:before="31" w:after="31"/>
              <w:jc w:val="center"/>
              <w:rPr>
                <w:rFonts w:ascii="Gill Sans MT" w:hAnsi="Gill Sans MT" w:cs="Arial"/>
                <w:sz w:val="20"/>
                <w:szCs w:val="20"/>
              </w:rPr>
            </w:pPr>
            <w:r>
              <w:rPr>
                <w:rFonts w:ascii="Gill Sans MT" w:hAnsi="Gill Sans MT" w:cs="Arial"/>
                <w:sz w:val="20"/>
                <w:szCs w:val="20"/>
              </w:rPr>
              <w:t>1</w:t>
            </w:r>
          </w:p>
          <w:p w14:paraId="335B226D" w14:textId="77777777" w:rsidR="00BE3BCA" w:rsidRPr="00BA35B7" w:rsidRDefault="00BE3BCA" w:rsidP="002B482F">
            <w:pPr>
              <w:spacing w:before="31" w:after="31"/>
              <w:jc w:val="center"/>
              <w:rPr>
                <w:rFonts w:ascii="Gill Sans MT" w:hAnsi="Gill Sans MT" w:cs="Arial"/>
                <w:sz w:val="20"/>
                <w:szCs w:val="20"/>
              </w:rPr>
            </w:pPr>
            <w:r w:rsidRPr="00BA35B7">
              <w:rPr>
                <w:rFonts w:ascii="Gill Sans MT" w:hAnsi="Gill Sans MT" w:cs="Arial"/>
                <w:sz w:val="20"/>
                <w:szCs w:val="20"/>
              </w:rPr>
              <w:t>1</w:t>
            </w:r>
          </w:p>
        </w:tc>
        <w:tc>
          <w:tcPr>
            <w:tcW w:w="2430" w:type="dxa"/>
            <w:tcBorders>
              <w:left w:val="nil"/>
              <w:right w:val="nil"/>
            </w:tcBorders>
          </w:tcPr>
          <w:p w14:paraId="4A448C6F" w14:textId="77777777" w:rsidR="00BE3BCA" w:rsidRPr="00BA35B7" w:rsidRDefault="00BE3BCA" w:rsidP="002B482F">
            <w:pPr>
              <w:spacing w:before="31" w:after="31"/>
              <w:jc w:val="center"/>
              <w:rPr>
                <w:rFonts w:ascii="Gill Sans MT" w:hAnsi="Gill Sans MT" w:cs="Arial"/>
                <w:sz w:val="20"/>
                <w:szCs w:val="20"/>
              </w:rPr>
            </w:pPr>
            <w:r>
              <w:rPr>
                <w:rFonts w:ascii="Gill Sans MT" w:hAnsi="Gill Sans MT" w:cs="Arial"/>
                <w:sz w:val="20"/>
                <w:szCs w:val="20"/>
              </w:rPr>
              <w:t>iLit and CP is same teacher</w:t>
            </w:r>
          </w:p>
        </w:tc>
        <w:tc>
          <w:tcPr>
            <w:tcW w:w="1530" w:type="dxa"/>
            <w:tcBorders>
              <w:left w:val="nil"/>
              <w:right w:val="nil"/>
            </w:tcBorders>
          </w:tcPr>
          <w:p w14:paraId="42CC5A30" w14:textId="77777777" w:rsidR="00BE3BCA" w:rsidRDefault="00BE3BCA" w:rsidP="002B482F">
            <w:pPr>
              <w:spacing w:before="31" w:after="31"/>
              <w:jc w:val="center"/>
              <w:rPr>
                <w:rFonts w:ascii="Gill Sans MT" w:hAnsi="Gill Sans MT" w:cs="Arial"/>
                <w:sz w:val="20"/>
                <w:szCs w:val="20"/>
              </w:rPr>
            </w:pPr>
            <w:r>
              <w:rPr>
                <w:rFonts w:ascii="Gill Sans MT" w:hAnsi="Gill Sans MT" w:cs="Arial"/>
                <w:sz w:val="20"/>
                <w:szCs w:val="20"/>
              </w:rPr>
              <w:t>No</w:t>
            </w:r>
          </w:p>
          <w:p w14:paraId="34ACB170" w14:textId="77777777" w:rsidR="00BE3BCA" w:rsidRPr="00BA35B7" w:rsidRDefault="00BE3BCA" w:rsidP="002B482F">
            <w:pPr>
              <w:spacing w:before="31" w:after="31"/>
              <w:jc w:val="center"/>
              <w:rPr>
                <w:rFonts w:ascii="Gill Sans MT" w:hAnsi="Gill Sans MT" w:cs="Arial"/>
                <w:sz w:val="20"/>
                <w:szCs w:val="20"/>
              </w:rPr>
            </w:pPr>
            <w:r>
              <w:rPr>
                <w:rFonts w:ascii="Gill Sans MT" w:hAnsi="Gill Sans MT" w:cs="Arial"/>
                <w:sz w:val="20"/>
                <w:szCs w:val="20"/>
              </w:rPr>
              <w:t>No</w:t>
            </w:r>
          </w:p>
        </w:tc>
        <w:tc>
          <w:tcPr>
            <w:tcW w:w="3330" w:type="dxa"/>
            <w:tcBorders>
              <w:left w:val="nil"/>
              <w:right w:val="nil"/>
            </w:tcBorders>
          </w:tcPr>
          <w:p w14:paraId="601FF2E6" w14:textId="77777777" w:rsidR="00BE3BCA" w:rsidRPr="00BA35B7" w:rsidRDefault="00BE3BCA" w:rsidP="002B482F">
            <w:pPr>
              <w:spacing w:before="31" w:after="31"/>
              <w:jc w:val="center"/>
              <w:rPr>
                <w:rFonts w:ascii="Gill Sans MT" w:hAnsi="Gill Sans MT" w:cs="Arial"/>
                <w:sz w:val="20"/>
                <w:szCs w:val="20"/>
              </w:rPr>
            </w:pPr>
            <w:r>
              <w:rPr>
                <w:rFonts w:ascii="Gill Sans MT" w:hAnsi="Gill Sans MT" w:cs="Arial"/>
                <w:sz w:val="20"/>
                <w:szCs w:val="20"/>
              </w:rPr>
              <w:t>Only study students in both classrooms</w:t>
            </w:r>
          </w:p>
        </w:tc>
        <w:tc>
          <w:tcPr>
            <w:tcW w:w="1094" w:type="dxa"/>
            <w:tcBorders>
              <w:left w:val="nil"/>
            </w:tcBorders>
          </w:tcPr>
          <w:p w14:paraId="44B639E5" w14:textId="77777777" w:rsidR="00BE3BCA" w:rsidRDefault="00BE3BCA" w:rsidP="002B482F">
            <w:pPr>
              <w:spacing w:before="31" w:after="31"/>
              <w:jc w:val="center"/>
              <w:rPr>
                <w:rFonts w:ascii="Gill Sans MT" w:hAnsi="Gill Sans MT" w:cs="Arial"/>
                <w:sz w:val="20"/>
                <w:szCs w:val="20"/>
              </w:rPr>
            </w:pPr>
            <w:r>
              <w:rPr>
                <w:rFonts w:ascii="Gill Sans MT" w:hAnsi="Gill Sans MT" w:cs="Arial"/>
                <w:sz w:val="20"/>
                <w:szCs w:val="20"/>
              </w:rPr>
              <w:t>98</w:t>
            </w:r>
          </w:p>
          <w:p w14:paraId="1DD7E5F4" w14:textId="77777777" w:rsidR="00BE3BCA" w:rsidRPr="00BA35B7" w:rsidRDefault="00BE3BCA" w:rsidP="002B482F">
            <w:pPr>
              <w:spacing w:before="31" w:after="31"/>
              <w:jc w:val="center"/>
              <w:rPr>
                <w:rFonts w:ascii="Gill Sans MT" w:hAnsi="Gill Sans MT" w:cs="Arial"/>
                <w:sz w:val="20"/>
                <w:szCs w:val="20"/>
              </w:rPr>
            </w:pPr>
            <w:r>
              <w:rPr>
                <w:rFonts w:ascii="Gill Sans MT" w:hAnsi="Gill Sans MT" w:cs="Arial"/>
                <w:sz w:val="20"/>
                <w:szCs w:val="20"/>
              </w:rPr>
              <w:t>98</w:t>
            </w:r>
          </w:p>
        </w:tc>
      </w:tr>
      <w:tr w:rsidR="00BE3BCA" w:rsidRPr="00BA35B7" w14:paraId="1D8F9BC7" w14:textId="77777777" w:rsidTr="002B482F">
        <w:trPr>
          <w:cantSplit/>
          <w:jc w:val="center"/>
        </w:trPr>
        <w:tc>
          <w:tcPr>
            <w:tcW w:w="11103" w:type="dxa"/>
            <w:gridSpan w:val="7"/>
          </w:tcPr>
          <w:p w14:paraId="7A6C0884" w14:textId="77777777" w:rsidR="00BE3BCA" w:rsidRDefault="00BE3BCA" w:rsidP="006433AD">
            <w:pPr>
              <w:spacing w:before="120" w:after="31"/>
              <w:jc w:val="center"/>
              <w:rPr>
                <w:rFonts w:ascii="Gill Sans MT" w:hAnsi="Gill Sans MT" w:cs="Arial"/>
                <w:sz w:val="20"/>
                <w:szCs w:val="20"/>
              </w:rPr>
            </w:pPr>
            <w:r w:rsidRPr="00EC5C14">
              <w:rPr>
                <w:rFonts w:ascii="Gill Sans MT" w:hAnsi="Gill Sans MT" w:cs="Arial"/>
                <w:sz w:val="20"/>
                <w:szCs w:val="20"/>
              </w:rPr>
              <w:t>New Jersey District</w:t>
            </w:r>
          </w:p>
        </w:tc>
      </w:tr>
      <w:tr w:rsidR="00BE3BCA" w:rsidRPr="00BA35B7" w14:paraId="5BE8B3D7" w14:textId="77777777" w:rsidTr="002B482F">
        <w:trPr>
          <w:cantSplit/>
          <w:jc w:val="center"/>
        </w:trPr>
        <w:tc>
          <w:tcPr>
            <w:tcW w:w="1457" w:type="dxa"/>
            <w:gridSpan w:val="2"/>
            <w:tcBorders>
              <w:right w:val="nil"/>
            </w:tcBorders>
          </w:tcPr>
          <w:p w14:paraId="2957E375" w14:textId="77777777" w:rsidR="00BE3BCA" w:rsidRPr="00BA35B7" w:rsidRDefault="00BE3BCA" w:rsidP="002B482F">
            <w:pPr>
              <w:spacing w:before="31" w:after="31"/>
              <w:jc w:val="center"/>
              <w:rPr>
                <w:rFonts w:ascii="Gill Sans MT" w:hAnsi="Gill Sans MT" w:cs="Arial"/>
                <w:sz w:val="20"/>
                <w:szCs w:val="20"/>
              </w:rPr>
            </w:pPr>
            <w:r w:rsidRPr="00BA35B7">
              <w:rPr>
                <w:rFonts w:ascii="Gill Sans MT" w:hAnsi="Gill Sans MT" w:cs="Arial"/>
                <w:sz w:val="20"/>
                <w:szCs w:val="20"/>
              </w:rPr>
              <w:t>iLit</w:t>
            </w:r>
          </w:p>
          <w:p w14:paraId="2BBDC1E4" w14:textId="77777777" w:rsidR="00BE3BCA" w:rsidRPr="00BA35B7" w:rsidRDefault="00BE3BCA" w:rsidP="002B482F">
            <w:pPr>
              <w:spacing w:before="31" w:after="31"/>
              <w:jc w:val="center"/>
              <w:rPr>
                <w:rFonts w:ascii="Gill Sans MT" w:hAnsi="Gill Sans MT" w:cs="Arial"/>
                <w:sz w:val="20"/>
                <w:szCs w:val="20"/>
              </w:rPr>
            </w:pPr>
            <w:r w:rsidRPr="00BA35B7">
              <w:rPr>
                <w:rFonts w:ascii="Gill Sans MT" w:hAnsi="Gill Sans MT" w:cs="Arial"/>
                <w:sz w:val="20"/>
                <w:szCs w:val="20"/>
              </w:rPr>
              <w:t>Comparison</w:t>
            </w:r>
          </w:p>
        </w:tc>
        <w:tc>
          <w:tcPr>
            <w:tcW w:w="1262" w:type="dxa"/>
            <w:tcBorders>
              <w:left w:val="nil"/>
              <w:right w:val="nil"/>
            </w:tcBorders>
          </w:tcPr>
          <w:p w14:paraId="29C41F1F" w14:textId="77777777" w:rsidR="00BE3BCA" w:rsidRPr="00BA35B7" w:rsidRDefault="00576F5B" w:rsidP="002B482F">
            <w:pPr>
              <w:spacing w:before="31" w:after="31"/>
              <w:jc w:val="center"/>
              <w:rPr>
                <w:rFonts w:ascii="Gill Sans MT" w:hAnsi="Gill Sans MT" w:cs="Arial"/>
                <w:sz w:val="20"/>
                <w:szCs w:val="20"/>
              </w:rPr>
            </w:pPr>
            <w:r>
              <w:rPr>
                <w:rFonts w:ascii="Gill Sans MT" w:hAnsi="Gill Sans MT" w:cs="Arial"/>
                <w:sz w:val="20"/>
                <w:szCs w:val="20"/>
              </w:rPr>
              <w:t>1</w:t>
            </w:r>
          </w:p>
          <w:p w14:paraId="63EAB330" w14:textId="77777777" w:rsidR="00BE3BCA" w:rsidRPr="00BA35B7" w:rsidRDefault="00576F5B" w:rsidP="002B482F">
            <w:pPr>
              <w:spacing w:before="31" w:after="31"/>
              <w:jc w:val="center"/>
              <w:rPr>
                <w:rFonts w:ascii="Gill Sans MT" w:hAnsi="Gill Sans MT" w:cs="Arial"/>
                <w:sz w:val="20"/>
                <w:szCs w:val="20"/>
              </w:rPr>
            </w:pPr>
            <w:r>
              <w:rPr>
                <w:rFonts w:ascii="Gill Sans MT" w:hAnsi="Gill Sans MT" w:cs="Arial"/>
                <w:sz w:val="20"/>
                <w:szCs w:val="20"/>
              </w:rPr>
              <w:t>2</w:t>
            </w:r>
            <w:r w:rsidR="00BE3BCA">
              <w:rPr>
                <w:rFonts w:ascii="Gill Sans MT" w:hAnsi="Gill Sans MT" w:cs="Arial"/>
                <w:sz w:val="20"/>
                <w:szCs w:val="20"/>
              </w:rPr>
              <w:t xml:space="preserve">  </w:t>
            </w:r>
          </w:p>
        </w:tc>
        <w:tc>
          <w:tcPr>
            <w:tcW w:w="2430" w:type="dxa"/>
            <w:tcBorders>
              <w:left w:val="nil"/>
              <w:right w:val="nil"/>
            </w:tcBorders>
          </w:tcPr>
          <w:p w14:paraId="3DE92ADA" w14:textId="77777777" w:rsidR="00BE3BCA" w:rsidRPr="00BA35B7" w:rsidRDefault="00BE3BCA" w:rsidP="002B482F">
            <w:pPr>
              <w:spacing w:before="124" w:after="31"/>
              <w:jc w:val="center"/>
              <w:rPr>
                <w:rFonts w:ascii="Gill Sans MT" w:hAnsi="Gill Sans MT" w:cs="Arial"/>
                <w:sz w:val="20"/>
                <w:szCs w:val="20"/>
              </w:rPr>
            </w:pPr>
            <w:r>
              <w:rPr>
                <w:rFonts w:ascii="Gill Sans MT" w:hAnsi="Gill Sans MT" w:cs="Arial"/>
                <w:sz w:val="20"/>
                <w:szCs w:val="20"/>
              </w:rPr>
              <w:t>3 different teachers</w:t>
            </w:r>
          </w:p>
        </w:tc>
        <w:tc>
          <w:tcPr>
            <w:tcW w:w="1530" w:type="dxa"/>
            <w:tcBorders>
              <w:left w:val="nil"/>
              <w:right w:val="nil"/>
            </w:tcBorders>
          </w:tcPr>
          <w:p w14:paraId="351DD50C" w14:textId="77777777" w:rsidR="00BE3BCA" w:rsidRDefault="00BE3BCA" w:rsidP="002B482F">
            <w:pPr>
              <w:spacing w:before="31" w:after="31"/>
              <w:jc w:val="center"/>
              <w:rPr>
                <w:rFonts w:ascii="Gill Sans MT" w:hAnsi="Gill Sans MT" w:cs="Arial"/>
                <w:sz w:val="20"/>
                <w:szCs w:val="20"/>
              </w:rPr>
            </w:pPr>
            <w:r>
              <w:rPr>
                <w:rFonts w:ascii="Gill Sans MT" w:hAnsi="Gill Sans MT" w:cs="Arial"/>
                <w:sz w:val="20"/>
                <w:szCs w:val="20"/>
              </w:rPr>
              <w:t>No</w:t>
            </w:r>
          </w:p>
          <w:p w14:paraId="5482FDC2" w14:textId="77777777" w:rsidR="00BE3BCA" w:rsidRPr="00BA35B7" w:rsidRDefault="00BE3BCA" w:rsidP="002B482F">
            <w:pPr>
              <w:spacing w:before="31" w:after="31"/>
              <w:jc w:val="center"/>
              <w:rPr>
                <w:rFonts w:ascii="Gill Sans MT" w:hAnsi="Gill Sans MT" w:cs="Arial"/>
                <w:sz w:val="20"/>
                <w:szCs w:val="20"/>
              </w:rPr>
            </w:pPr>
            <w:r>
              <w:rPr>
                <w:rFonts w:ascii="Gill Sans MT" w:hAnsi="Gill Sans MT" w:cs="Arial"/>
                <w:sz w:val="20"/>
                <w:szCs w:val="20"/>
              </w:rPr>
              <w:t>Yes</w:t>
            </w:r>
          </w:p>
        </w:tc>
        <w:tc>
          <w:tcPr>
            <w:tcW w:w="3330" w:type="dxa"/>
            <w:tcBorders>
              <w:left w:val="nil"/>
              <w:right w:val="nil"/>
            </w:tcBorders>
          </w:tcPr>
          <w:p w14:paraId="404DD17F" w14:textId="77777777" w:rsidR="00BE3BCA" w:rsidRPr="001C482E" w:rsidRDefault="00BE3BCA" w:rsidP="002B482F">
            <w:pPr>
              <w:spacing w:before="31" w:after="31"/>
              <w:jc w:val="center"/>
              <w:rPr>
                <w:rFonts w:ascii="Gill Sans MT" w:hAnsi="Gill Sans MT" w:cs="Arial"/>
                <w:sz w:val="20"/>
                <w:szCs w:val="20"/>
              </w:rPr>
            </w:pPr>
            <w:r w:rsidRPr="001C482E">
              <w:rPr>
                <w:rFonts w:ascii="Gill Sans MT" w:hAnsi="Gill Sans MT" w:cs="Arial"/>
                <w:sz w:val="20"/>
                <w:szCs w:val="20"/>
              </w:rPr>
              <w:t>CP classrooms 25% and 54% study stude</w:t>
            </w:r>
            <w:r>
              <w:rPr>
                <w:rFonts w:ascii="Gill Sans MT" w:hAnsi="Gill Sans MT" w:cs="Arial"/>
                <w:sz w:val="20"/>
                <w:szCs w:val="20"/>
              </w:rPr>
              <w:t>n</w:t>
            </w:r>
            <w:r w:rsidRPr="001C482E">
              <w:rPr>
                <w:rFonts w:ascii="Gill Sans MT" w:hAnsi="Gill Sans MT" w:cs="Arial"/>
                <w:sz w:val="20"/>
                <w:szCs w:val="20"/>
              </w:rPr>
              <w:t>ts</w:t>
            </w:r>
          </w:p>
        </w:tc>
        <w:tc>
          <w:tcPr>
            <w:tcW w:w="1094" w:type="dxa"/>
            <w:tcBorders>
              <w:left w:val="nil"/>
            </w:tcBorders>
          </w:tcPr>
          <w:p w14:paraId="046ABCB2" w14:textId="77777777" w:rsidR="00BE3BCA" w:rsidRDefault="00BE3BCA" w:rsidP="002B482F">
            <w:pPr>
              <w:spacing w:before="31" w:after="31"/>
              <w:jc w:val="center"/>
              <w:rPr>
                <w:rFonts w:ascii="Gill Sans MT" w:hAnsi="Gill Sans MT" w:cs="Arial"/>
                <w:sz w:val="20"/>
                <w:szCs w:val="20"/>
              </w:rPr>
            </w:pPr>
            <w:r>
              <w:rPr>
                <w:rFonts w:ascii="Gill Sans MT" w:hAnsi="Gill Sans MT" w:cs="Arial"/>
                <w:sz w:val="20"/>
                <w:szCs w:val="20"/>
              </w:rPr>
              <w:t>110</w:t>
            </w:r>
          </w:p>
          <w:p w14:paraId="0DD5BE0D" w14:textId="77777777" w:rsidR="00BE3BCA" w:rsidRPr="00BA35B7" w:rsidRDefault="00BE3BCA" w:rsidP="002B482F">
            <w:pPr>
              <w:tabs>
                <w:tab w:val="left" w:pos="166"/>
                <w:tab w:val="left" w:pos="195"/>
                <w:tab w:val="center" w:pos="271"/>
                <w:tab w:val="center" w:pos="339"/>
              </w:tabs>
              <w:spacing w:before="31" w:after="31"/>
              <w:jc w:val="center"/>
              <w:rPr>
                <w:rFonts w:ascii="Gill Sans MT" w:hAnsi="Gill Sans MT" w:cs="Arial"/>
                <w:sz w:val="20"/>
                <w:szCs w:val="20"/>
              </w:rPr>
            </w:pPr>
            <w:r>
              <w:rPr>
                <w:rFonts w:ascii="Gill Sans MT" w:hAnsi="Gill Sans MT" w:cs="Arial"/>
                <w:sz w:val="20"/>
                <w:szCs w:val="20"/>
              </w:rPr>
              <w:t>58</w:t>
            </w:r>
          </w:p>
        </w:tc>
      </w:tr>
      <w:tr w:rsidR="00BE3BCA" w:rsidRPr="00BA35B7" w14:paraId="2FC098C4" w14:textId="77777777" w:rsidTr="002B482F">
        <w:trPr>
          <w:cantSplit/>
          <w:jc w:val="center"/>
        </w:trPr>
        <w:tc>
          <w:tcPr>
            <w:tcW w:w="11103" w:type="dxa"/>
            <w:gridSpan w:val="7"/>
          </w:tcPr>
          <w:p w14:paraId="09482503" w14:textId="77777777" w:rsidR="00BE3BCA" w:rsidRDefault="00BE3BCA" w:rsidP="006433AD">
            <w:pPr>
              <w:spacing w:before="120" w:after="31"/>
              <w:jc w:val="center"/>
              <w:rPr>
                <w:rFonts w:ascii="Gill Sans MT" w:hAnsi="Gill Sans MT" w:cs="Arial"/>
                <w:sz w:val="20"/>
                <w:szCs w:val="20"/>
              </w:rPr>
            </w:pPr>
            <w:r>
              <w:rPr>
                <w:rFonts w:ascii="Gill Sans MT" w:hAnsi="Gill Sans MT" w:cs="Arial"/>
                <w:sz w:val="20"/>
                <w:szCs w:val="20"/>
              </w:rPr>
              <w:lastRenderedPageBreak/>
              <w:t>New York</w:t>
            </w:r>
            <w:r w:rsidRPr="00EC5C14">
              <w:rPr>
                <w:rFonts w:ascii="Gill Sans MT" w:hAnsi="Gill Sans MT" w:cs="Arial"/>
                <w:sz w:val="20"/>
                <w:szCs w:val="20"/>
              </w:rPr>
              <w:t xml:space="preserve"> District</w:t>
            </w:r>
          </w:p>
        </w:tc>
      </w:tr>
      <w:tr w:rsidR="00BE3BCA" w:rsidRPr="00BA35B7" w14:paraId="1EC28363" w14:textId="77777777" w:rsidTr="002B482F">
        <w:trPr>
          <w:cantSplit/>
          <w:jc w:val="center"/>
        </w:trPr>
        <w:tc>
          <w:tcPr>
            <w:tcW w:w="1457" w:type="dxa"/>
            <w:gridSpan w:val="2"/>
            <w:tcBorders>
              <w:right w:val="nil"/>
            </w:tcBorders>
          </w:tcPr>
          <w:p w14:paraId="0AB16548" w14:textId="77777777" w:rsidR="00BE3BCA" w:rsidRPr="00BA35B7" w:rsidRDefault="00BE3BCA" w:rsidP="002B482F">
            <w:pPr>
              <w:spacing w:before="31" w:after="31"/>
              <w:jc w:val="center"/>
              <w:rPr>
                <w:rFonts w:ascii="Gill Sans MT" w:hAnsi="Gill Sans MT" w:cs="Arial"/>
                <w:sz w:val="20"/>
                <w:szCs w:val="20"/>
              </w:rPr>
            </w:pPr>
            <w:r w:rsidRPr="00BA35B7">
              <w:rPr>
                <w:rFonts w:ascii="Gill Sans MT" w:hAnsi="Gill Sans MT" w:cs="Arial"/>
                <w:sz w:val="20"/>
                <w:szCs w:val="20"/>
              </w:rPr>
              <w:t>iLit</w:t>
            </w:r>
          </w:p>
          <w:p w14:paraId="528738F9" w14:textId="77777777" w:rsidR="00BE3BCA" w:rsidRPr="00BA35B7" w:rsidRDefault="00BE3BCA" w:rsidP="002B482F">
            <w:pPr>
              <w:spacing w:before="31" w:after="31"/>
              <w:jc w:val="center"/>
              <w:rPr>
                <w:rFonts w:ascii="Gill Sans MT" w:hAnsi="Gill Sans MT" w:cs="Arial"/>
                <w:sz w:val="20"/>
                <w:szCs w:val="20"/>
              </w:rPr>
            </w:pPr>
            <w:r w:rsidRPr="00BA35B7">
              <w:rPr>
                <w:rFonts w:ascii="Gill Sans MT" w:hAnsi="Gill Sans MT" w:cs="Arial"/>
                <w:sz w:val="20"/>
                <w:szCs w:val="20"/>
              </w:rPr>
              <w:t>Comparison</w:t>
            </w:r>
          </w:p>
        </w:tc>
        <w:tc>
          <w:tcPr>
            <w:tcW w:w="1262" w:type="dxa"/>
            <w:tcBorders>
              <w:left w:val="nil"/>
              <w:right w:val="nil"/>
            </w:tcBorders>
          </w:tcPr>
          <w:p w14:paraId="28A17CAE" w14:textId="77777777" w:rsidR="00BE3BCA" w:rsidRPr="00BA35B7" w:rsidRDefault="00576F5B" w:rsidP="002B482F">
            <w:pPr>
              <w:spacing w:before="31" w:after="31"/>
              <w:jc w:val="center"/>
              <w:rPr>
                <w:rFonts w:ascii="Gill Sans MT" w:hAnsi="Gill Sans MT" w:cs="Arial"/>
                <w:sz w:val="20"/>
                <w:szCs w:val="20"/>
              </w:rPr>
            </w:pPr>
            <w:r>
              <w:rPr>
                <w:rFonts w:ascii="Gill Sans MT" w:hAnsi="Gill Sans MT" w:cs="Arial"/>
                <w:sz w:val="20"/>
                <w:szCs w:val="20"/>
              </w:rPr>
              <w:t>2</w:t>
            </w:r>
          </w:p>
          <w:p w14:paraId="5638D8FB" w14:textId="77777777" w:rsidR="00BE3BCA" w:rsidRPr="00BA35B7" w:rsidRDefault="00576F5B" w:rsidP="002B482F">
            <w:pPr>
              <w:spacing w:before="31" w:after="31"/>
              <w:jc w:val="center"/>
              <w:rPr>
                <w:rFonts w:ascii="Gill Sans MT" w:hAnsi="Gill Sans MT" w:cs="Arial"/>
                <w:sz w:val="20"/>
                <w:szCs w:val="20"/>
              </w:rPr>
            </w:pPr>
            <w:r>
              <w:rPr>
                <w:rFonts w:ascii="Gill Sans MT" w:hAnsi="Gill Sans MT" w:cs="Arial"/>
                <w:sz w:val="20"/>
                <w:szCs w:val="20"/>
              </w:rPr>
              <w:t>4</w:t>
            </w:r>
          </w:p>
        </w:tc>
        <w:tc>
          <w:tcPr>
            <w:tcW w:w="2430" w:type="dxa"/>
            <w:tcBorders>
              <w:left w:val="nil"/>
              <w:right w:val="nil"/>
            </w:tcBorders>
          </w:tcPr>
          <w:p w14:paraId="5DE8F0BF" w14:textId="77777777" w:rsidR="00BE3BCA" w:rsidRPr="00BA35B7" w:rsidRDefault="00BE3BCA" w:rsidP="002B482F">
            <w:pPr>
              <w:spacing w:before="31" w:after="31"/>
              <w:jc w:val="center"/>
              <w:rPr>
                <w:rFonts w:ascii="Gill Sans MT" w:hAnsi="Gill Sans MT" w:cs="Arial"/>
                <w:sz w:val="20"/>
                <w:szCs w:val="20"/>
              </w:rPr>
            </w:pPr>
            <w:r>
              <w:rPr>
                <w:rFonts w:ascii="Gill Sans MT" w:hAnsi="Gill Sans MT" w:cs="Arial"/>
                <w:sz w:val="20"/>
                <w:szCs w:val="20"/>
              </w:rPr>
              <w:t>2 teachers CP only, 2 teachers both iLit and CP</w:t>
            </w:r>
          </w:p>
        </w:tc>
        <w:tc>
          <w:tcPr>
            <w:tcW w:w="1530" w:type="dxa"/>
            <w:tcBorders>
              <w:left w:val="nil"/>
              <w:right w:val="nil"/>
            </w:tcBorders>
          </w:tcPr>
          <w:p w14:paraId="4C68A7E0" w14:textId="77777777" w:rsidR="00BE3BCA" w:rsidRDefault="00BE3BCA" w:rsidP="002B482F">
            <w:pPr>
              <w:spacing w:before="31" w:after="31"/>
              <w:jc w:val="center"/>
              <w:rPr>
                <w:rFonts w:ascii="Gill Sans MT" w:hAnsi="Gill Sans MT" w:cs="Arial"/>
                <w:sz w:val="20"/>
                <w:szCs w:val="20"/>
              </w:rPr>
            </w:pPr>
            <w:r>
              <w:rPr>
                <w:rFonts w:ascii="Gill Sans MT" w:hAnsi="Gill Sans MT" w:cs="Arial"/>
                <w:sz w:val="20"/>
                <w:szCs w:val="20"/>
              </w:rPr>
              <w:t>No</w:t>
            </w:r>
          </w:p>
          <w:p w14:paraId="65FD2A11" w14:textId="77777777" w:rsidR="00BE3BCA" w:rsidRPr="00BA35B7" w:rsidRDefault="00BE3BCA" w:rsidP="002B482F">
            <w:pPr>
              <w:spacing w:before="31" w:after="31"/>
              <w:jc w:val="center"/>
              <w:rPr>
                <w:rFonts w:ascii="Gill Sans MT" w:hAnsi="Gill Sans MT" w:cs="Arial"/>
                <w:sz w:val="20"/>
                <w:szCs w:val="20"/>
              </w:rPr>
            </w:pPr>
            <w:r>
              <w:rPr>
                <w:rFonts w:ascii="Gill Sans MT" w:hAnsi="Gill Sans MT" w:cs="Arial"/>
                <w:sz w:val="20"/>
                <w:szCs w:val="20"/>
              </w:rPr>
              <w:t>Yes</w:t>
            </w:r>
          </w:p>
        </w:tc>
        <w:tc>
          <w:tcPr>
            <w:tcW w:w="3330" w:type="dxa"/>
            <w:tcBorders>
              <w:left w:val="nil"/>
              <w:right w:val="nil"/>
            </w:tcBorders>
          </w:tcPr>
          <w:p w14:paraId="3C43CB62" w14:textId="77777777" w:rsidR="00BE3BCA" w:rsidRPr="001C482E" w:rsidRDefault="00BE3BCA" w:rsidP="002B482F">
            <w:pPr>
              <w:spacing w:before="31" w:after="31"/>
              <w:jc w:val="center"/>
              <w:rPr>
                <w:rFonts w:ascii="Gill Sans MT" w:hAnsi="Gill Sans MT" w:cs="Arial"/>
                <w:sz w:val="20"/>
                <w:szCs w:val="20"/>
              </w:rPr>
            </w:pPr>
            <w:r>
              <w:rPr>
                <w:rFonts w:ascii="Gill Sans MT" w:hAnsi="Gill Sans MT" w:cs="Arial"/>
                <w:sz w:val="20"/>
                <w:szCs w:val="20"/>
              </w:rPr>
              <w:t>Mixed CP classrooms 11% and 76</w:t>
            </w:r>
            <w:r w:rsidRPr="001C482E">
              <w:rPr>
                <w:rFonts w:ascii="Gill Sans MT" w:hAnsi="Gill Sans MT" w:cs="Arial"/>
                <w:sz w:val="20"/>
                <w:szCs w:val="20"/>
              </w:rPr>
              <w:t>% study stude</w:t>
            </w:r>
            <w:r>
              <w:rPr>
                <w:rFonts w:ascii="Gill Sans MT" w:hAnsi="Gill Sans MT" w:cs="Arial"/>
                <w:sz w:val="20"/>
                <w:szCs w:val="20"/>
              </w:rPr>
              <w:t>n</w:t>
            </w:r>
            <w:r w:rsidRPr="001C482E">
              <w:rPr>
                <w:rFonts w:ascii="Gill Sans MT" w:hAnsi="Gill Sans MT" w:cs="Arial"/>
                <w:sz w:val="20"/>
                <w:szCs w:val="20"/>
              </w:rPr>
              <w:t>ts</w:t>
            </w:r>
          </w:p>
        </w:tc>
        <w:tc>
          <w:tcPr>
            <w:tcW w:w="1094" w:type="dxa"/>
            <w:tcBorders>
              <w:left w:val="nil"/>
            </w:tcBorders>
          </w:tcPr>
          <w:p w14:paraId="0FDE3616" w14:textId="77777777" w:rsidR="00BE3BCA" w:rsidRDefault="00BE3BCA" w:rsidP="002B482F">
            <w:pPr>
              <w:spacing w:before="31" w:after="31"/>
              <w:jc w:val="center"/>
              <w:rPr>
                <w:rFonts w:ascii="Gill Sans MT" w:hAnsi="Gill Sans MT" w:cs="Arial"/>
                <w:sz w:val="20"/>
                <w:szCs w:val="20"/>
              </w:rPr>
            </w:pPr>
            <w:r>
              <w:rPr>
                <w:rFonts w:ascii="Gill Sans MT" w:hAnsi="Gill Sans MT" w:cs="Arial"/>
                <w:sz w:val="20"/>
                <w:szCs w:val="20"/>
              </w:rPr>
              <w:t>86</w:t>
            </w:r>
          </w:p>
          <w:p w14:paraId="5ACDA868" w14:textId="77777777" w:rsidR="00BE3BCA" w:rsidRPr="00BA35B7" w:rsidRDefault="00BE3BCA" w:rsidP="002B482F">
            <w:pPr>
              <w:spacing w:before="31" w:after="31"/>
              <w:jc w:val="center"/>
              <w:rPr>
                <w:rFonts w:ascii="Gill Sans MT" w:hAnsi="Gill Sans MT" w:cs="Arial"/>
                <w:sz w:val="20"/>
                <w:szCs w:val="20"/>
              </w:rPr>
            </w:pPr>
            <w:r>
              <w:rPr>
                <w:rFonts w:ascii="Gill Sans MT" w:hAnsi="Gill Sans MT" w:cs="Arial"/>
                <w:sz w:val="20"/>
                <w:szCs w:val="20"/>
              </w:rPr>
              <w:t>43</w:t>
            </w:r>
          </w:p>
        </w:tc>
      </w:tr>
      <w:tr w:rsidR="00BE3BCA" w:rsidRPr="00BA35B7" w14:paraId="0AA4CC8D" w14:textId="77777777" w:rsidTr="002B482F">
        <w:trPr>
          <w:cantSplit/>
          <w:trHeight w:val="103"/>
          <w:jc w:val="center"/>
        </w:trPr>
        <w:tc>
          <w:tcPr>
            <w:tcW w:w="11103" w:type="dxa"/>
            <w:gridSpan w:val="7"/>
            <w:shd w:val="clear" w:color="auto" w:fill="CCCCCC"/>
          </w:tcPr>
          <w:p w14:paraId="27372C22" w14:textId="77777777" w:rsidR="00BE3BCA" w:rsidRPr="005A02E7" w:rsidRDefault="00BE3BCA" w:rsidP="002B482F">
            <w:pPr>
              <w:spacing w:before="31"/>
              <w:rPr>
                <w:rFonts w:ascii="Gill Sans MT" w:hAnsi="Gill Sans MT"/>
                <w:sz w:val="8"/>
                <w:szCs w:val="8"/>
              </w:rPr>
            </w:pPr>
          </w:p>
        </w:tc>
      </w:tr>
    </w:tbl>
    <w:p w14:paraId="373D0571" w14:textId="77777777" w:rsidR="00BE3BCA" w:rsidRPr="001A1B1B" w:rsidRDefault="00BE3BCA" w:rsidP="00BE3BCA">
      <w:pPr>
        <w:jc w:val="both"/>
        <w:rPr>
          <w:sz w:val="8"/>
          <w:szCs w:val="8"/>
        </w:rPr>
      </w:pPr>
    </w:p>
    <w:tbl>
      <w:tblPr>
        <w:tblW w:w="11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3"/>
        <w:gridCol w:w="334"/>
        <w:gridCol w:w="1262"/>
        <w:gridCol w:w="2430"/>
        <w:gridCol w:w="1530"/>
        <w:gridCol w:w="3330"/>
        <w:gridCol w:w="1094"/>
      </w:tblGrid>
      <w:tr w:rsidR="00BE3BCA" w:rsidRPr="00BA35B7" w14:paraId="31EB1B61" w14:textId="77777777" w:rsidTr="002B482F">
        <w:trPr>
          <w:cantSplit/>
          <w:jc w:val="center"/>
        </w:trPr>
        <w:tc>
          <w:tcPr>
            <w:tcW w:w="1123" w:type="dxa"/>
            <w:tcBorders>
              <w:right w:val="nil"/>
            </w:tcBorders>
            <w:shd w:val="clear" w:color="auto" w:fill="0000FF"/>
          </w:tcPr>
          <w:p w14:paraId="3B067F84" w14:textId="77777777" w:rsidR="00BE3BCA" w:rsidRPr="00CA3571" w:rsidRDefault="00BE3BCA" w:rsidP="002B482F">
            <w:pPr>
              <w:spacing w:before="31" w:after="31"/>
              <w:rPr>
                <w:rFonts w:ascii="Gill Sans MT" w:hAnsi="Gill Sans MT"/>
                <w:color w:val="FFFF99"/>
              </w:rPr>
            </w:pPr>
            <w:r w:rsidRPr="00CA3571">
              <w:rPr>
                <w:rFonts w:ascii="Gill Sans MT" w:hAnsi="Gill Sans MT"/>
                <w:color w:val="FFFF99"/>
              </w:rPr>
              <w:t>Table 2b</w:t>
            </w:r>
          </w:p>
        </w:tc>
        <w:tc>
          <w:tcPr>
            <w:tcW w:w="9980" w:type="dxa"/>
            <w:gridSpan w:val="6"/>
            <w:tcBorders>
              <w:left w:val="nil"/>
            </w:tcBorders>
            <w:shd w:val="clear" w:color="auto" w:fill="0000FF"/>
          </w:tcPr>
          <w:p w14:paraId="0356BF07" w14:textId="77777777" w:rsidR="00BE3BCA" w:rsidRPr="00A672CA" w:rsidRDefault="00BE3BCA" w:rsidP="002B482F">
            <w:pPr>
              <w:spacing w:before="31" w:after="31"/>
              <w:jc w:val="center"/>
              <w:rPr>
                <w:rFonts w:ascii="Gill Sans MT" w:hAnsi="Gill Sans MT"/>
                <w:color w:val="FFFF99"/>
              </w:rPr>
            </w:pPr>
            <w:r>
              <w:rPr>
                <w:rFonts w:ascii="Gill Sans MT" w:hAnsi="Gill Sans MT"/>
                <w:color w:val="FFFF99"/>
              </w:rPr>
              <w:t>8</w:t>
            </w:r>
            <w:r w:rsidRPr="00A672CA">
              <w:rPr>
                <w:rFonts w:ascii="Gill Sans MT" w:hAnsi="Gill Sans MT"/>
                <w:color w:val="FFFF99"/>
                <w:vertAlign w:val="superscript"/>
              </w:rPr>
              <w:t>th</w:t>
            </w:r>
            <w:r w:rsidRPr="00A672CA">
              <w:rPr>
                <w:rFonts w:ascii="Gill Sans MT" w:hAnsi="Gill Sans MT"/>
                <w:color w:val="FFFF99"/>
              </w:rPr>
              <w:t xml:space="preserve"> Grade Participating Study Classrooms</w:t>
            </w:r>
          </w:p>
        </w:tc>
      </w:tr>
      <w:tr w:rsidR="00BE3BCA" w:rsidRPr="00BA35B7" w14:paraId="6949B1BB" w14:textId="77777777" w:rsidTr="002B482F">
        <w:trPr>
          <w:cantSplit/>
          <w:jc w:val="center"/>
        </w:trPr>
        <w:tc>
          <w:tcPr>
            <w:tcW w:w="1457" w:type="dxa"/>
            <w:gridSpan w:val="2"/>
            <w:tcBorders>
              <w:right w:val="nil"/>
            </w:tcBorders>
            <w:shd w:val="clear" w:color="auto" w:fill="D9D9D9" w:themeFill="background1" w:themeFillShade="D9"/>
          </w:tcPr>
          <w:p w14:paraId="238615AE" w14:textId="77777777" w:rsidR="00BE3BCA" w:rsidRPr="00BA35B7" w:rsidRDefault="00BE3BCA" w:rsidP="002B482F">
            <w:pPr>
              <w:spacing w:before="124" w:after="31"/>
              <w:jc w:val="center"/>
              <w:rPr>
                <w:rFonts w:ascii="Gill Sans MT" w:hAnsi="Gill Sans MT" w:cs="Arial"/>
                <w:sz w:val="20"/>
                <w:szCs w:val="20"/>
              </w:rPr>
            </w:pPr>
            <w:r>
              <w:rPr>
                <w:rFonts w:ascii="Gill Sans MT" w:hAnsi="Gill Sans MT" w:cs="Arial"/>
                <w:sz w:val="20"/>
                <w:szCs w:val="20"/>
              </w:rPr>
              <w:t>Group</w:t>
            </w:r>
          </w:p>
        </w:tc>
        <w:tc>
          <w:tcPr>
            <w:tcW w:w="1262" w:type="dxa"/>
            <w:tcBorders>
              <w:left w:val="nil"/>
              <w:right w:val="nil"/>
            </w:tcBorders>
            <w:shd w:val="clear" w:color="auto" w:fill="D9D9D9" w:themeFill="background1" w:themeFillShade="D9"/>
          </w:tcPr>
          <w:p w14:paraId="69FA8BF3" w14:textId="77777777" w:rsidR="00BE3BCA" w:rsidRPr="00BA35B7" w:rsidRDefault="00BE3BCA" w:rsidP="002B482F">
            <w:pPr>
              <w:spacing w:before="31" w:after="31"/>
              <w:jc w:val="center"/>
              <w:rPr>
                <w:rFonts w:ascii="Gill Sans MT" w:hAnsi="Gill Sans MT" w:cs="Arial"/>
                <w:sz w:val="20"/>
                <w:szCs w:val="20"/>
              </w:rPr>
            </w:pPr>
            <w:r>
              <w:rPr>
                <w:rFonts w:ascii="Gill Sans MT" w:hAnsi="Gill Sans MT" w:cs="Arial"/>
                <w:sz w:val="20"/>
                <w:szCs w:val="20"/>
              </w:rPr>
              <w:t>Number Classrooms</w:t>
            </w:r>
          </w:p>
        </w:tc>
        <w:tc>
          <w:tcPr>
            <w:tcW w:w="2430" w:type="dxa"/>
            <w:tcBorders>
              <w:left w:val="nil"/>
              <w:right w:val="nil"/>
            </w:tcBorders>
            <w:shd w:val="clear" w:color="auto" w:fill="D9D9D9" w:themeFill="background1" w:themeFillShade="D9"/>
          </w:tcPr>
          <w:p w14:paraId="4BD7DE04" w14:textId="77777777" w:rsidR="00BE3BCA" w:rsidRPr="00BA35B7" w:rsidRDefault="00BE3BCA" w:rsidP="002B482F">
            <w:pPr>
              <w:spacing w:before="124" w:after="31"/>
              <w:jc w:val="center"/>
              <w:rPr>
                <w:rFonts w:ascii="Gill Sans MT" w:hAnsi="Gill Sans MT" w:cs="Arial"/>
                <w:sz w:val="20"/>
                <w:szCs w:val="20"/>
              </w:rPr>
            </w:pPr>
            <w:r>
              <w:rPr>
                <w:rFonts w:ascii="Gill Sans MT" w:hAnsi="Gill Sans MT" w:cs="Arial"/>
                <w:sz w:val="20"/>
                <w:szCs w:val="20"/>
              </w:rPr>
              <w:t>Teachers</w:t>
            </w:r>
          </w:p>
        </w:tc>
        <w:tc>
          <w:tcPr>
            <w:tcW w:w="1530" w:type="dxa"/>
            <w:tcBorders>
              <w:left w:val="nil"/>
              <w:right w:val="nil"/>
            </w:tcBorders>
            <w:shd w:val="clear" w:color="auto" w:fill="D9D9D9" w:themeFill="background1" w:themeFillShade="D9"/>
          </w:tcPr>
          <w:p w14:paraId="336D1925" w14:textId="77777777" w:rsidR="00BE3BCA" w:rsidRPr="00BA35B7" w:rsidRDefault="00BE3BCA" w:rsidP="002B482F">
            <w:pPr>
              <w:spacing w:before="31" w:after="31"/>
              <w:jc w:val="center"/>
              <w:rPr>
                <w:rFonts w:ascii="Gill Sans MT" w:hAnsi="Gill Sans MT" w:cs="Arial"/>
                <w:sz w:val="20"/>
                <w:szCs w:val="20"/>
              </w:rPr>
            </w:pPr>
            <w:r>
              <w:rPr>
                <w:rFonts w:ascii="Gill Sans MT" w:hAnsi="Gill Sans MT" w:cs="Arial"/>
                <w:sz w:val="20"/>
                <w:szCs w:val="20"/>
              </w:rPr>
              <w:t>Includes Non-study Students</w:t>
            </w:r>
          </w:p>
        </w:tc>
        <w:tc>
          <w:tcPr>
            <w:tcW w:w="3330" w:type="dxa"/>
            <w:tcBorders>
              <w:left w:val="nil"/>
              <w:right w:val="nil"/>
            </w:tcBorders>
            <w:shd w:val="clear" w:color="auto" w:fill="D9D9D9" w:themeFill="background1" w:themeFillShade="D9"/>
          </w:tcPr>
          <w:p w14:paraId="7B6A642C" w14:textId="77777777" w:rsidR="00BE3BCA" w:rsidRPr="00BA35B7" w:rsidRDefault="00BE3BCA" w:rsidP="002B482F">
            <w:pPr>
              <w:spacing w:before="124" w:after="31"/>
              <w:jc w:val="center"/>
              <w:rPr>
                <w:rFonts w:ascii="Gill Sans MT" w:hAnsi="Gill Sans MT" w:cs="Arial"/>
                <w:sz w:val="20"/>
                <w:szCs w:val="20"/>
              </w:rPr>
            </w:pPr>
            <w:r>
              <w:rPr>
                <w:rFonts w:ascii="Gill Sans MT" w:hAnsi="Gill Sans MT" w:cs="Arial"/>
                <w:sz w:val="20"/>
                <w:szCs w:val="20"/>
              </w:rPr>
              <w:t>Study/Non-study Students</w:t>
            </w:r>
          </w:p>
        </w:tc>
        <w:tc>
          <w:tcPr>
            <w:tcW w:w="1094" w:type="dxa"/>
            <w:tcBorders>
              <w:left w:val="nil"/>
            </w:tcBorders>
            <w:shd w:val="clear" w:color="auto" w:fill="D9D9D9" w:themeFill="background1" w:themeFillShade="D9"/>
          </w:tcPr>
          <w:p w14:paraId="3B91F3FB" w14:textId="77777777" w:rsidR="00BE3BCA" w:rsidRPr="00BA35B7" w:rsidRDefault="00BE3BCA" w:rsidP="002B482F">
            <w:pPr>
              <w:spacing w:before="31" w:after="31"/>
              <w:jc w:val="center"/>
              <w:rPr>
                <w:rFonts w:ascii="Gill Sans MT" w:hAnsi="Gill Sans MT" w:cs="Arial"/>
                <w:sz w:val="20"/>
                <w:szCs w:val="20"/>
                <w:highlight w:val="yellow"/>
              </w:rPr>
            </w:pPr>
            <w:r w:rsidRPr="001964E7">
              <w:rPr>
                <w:rFonts w:ascii="Gill Sans MT" w:hAnsi="Gill Sans MT" w:cs="Arial"/>
                <w:sz w:val="20"/>
                <w:szCs w:val="20"/>
              </w:rPr>
              <w:t>Minutes Daily ELA</w:t>
            </w:r>
          </w:p>
        </w:tc>
      </w:tr>
      <w:tr w:rsidR="00BE3BCA" w:rsidRPr="00BA35B7" w14:paraId="31635784" w14:textId="77777777" w:rsidTr="002B482F">
        <w:trPr>
          <w:cantSplit/>
          <w:jc w:val="center"/>
        </w:trPr>
        <w:tc>
          <w:tcPr>
            <w:tcW w:w="11103" w:type="dxa"/>
            <w:gridSpan w:val="7"/>
          </w:tcPr>
          <w:p w14:paraId="4B345310" w14:textId="77777777" w:rsidR="00BE3BCA" w:rsidRPr="006F0A6A" w:rsidRDefault="00BE3BCA" w:rsidP="006433AD">
            <w:pPr>
              <w:spacing w:before="120" w:after="31"/>
              <w:jc w:val="center"/>
              <w:rPr>
                <w:rFonts w:ascii="Gill Sans MT" w:hAnsi="Gill Sans MT" w:cs="Arial"/>
                <w:sz w:val="20"/>
                <w:szCs w:val="20"/>
              </w:rPr>
            </w:pPr>
            <w:r w:rsidRPr="00B73A8E">
              <w:rPr>
                <w:rFonts w:ascii="Gill Sans MT" w:hAnsi="Gill Sans MT" w:cs="Arial"/>
                <w:sz w:val="20"/>
                <w:szCs w:val="20"/>
              </w:rPr>
              <w:t>Whole Sample</w:t>
            </w:r>
          </w:p>
        </w:tc>
      </w:tr>
      <w:tr w:rsidR="00BE3BCA" w:rsidRPr="00BA35B7" w14:paraId="5E9C5E4A" w14:textId="77777777" w:rsidTr="002B482F">
        <w:trPr>
          <w:cantSplit/>
          <w:jc w:val="center"/>
        </w:trPr>
        <w:tc>
          <w:tcPr>
            <w:tcW w:w="1457" w:type="dxa"/>
            <w:gridSpan w:val="2"/>
            <w:tcBorders>
              <w:right w:val="nil"/>
            </w:tcBorders>
          </w:tcPr>
          <w:p w14:paraId="4B214077" w14:textId="77777777" w:rsidR="00BE3BCA" w:rsidRPr="00BA35B7" w:rsidRDefault="00BE3BCA" w:rsidP="002B482F">
            <w:pPr>
              <w:spacing w:before="31" w:after="31"/>
              <w:jc w:val="center"/>
              <w:rPr>
                <w:rFonts w:ascii="Gill Sans MT" w:hAnsi="Gill Sans MT" w:cs="Arial"/>
                <w:sz w:val="20"/>
                <w:szCs w:val="20"/>
              </w:rPr>
            </w:pPr>
            <w:r w:rsidRPr="00BA35B7">
              <w:rPr>
                <w:rFonts w:ascii="Gill Sans MT" w:hAnsi="Gill Sans MT" w:cs="Arial"/>
                <w:sz w:val="20"/>
                <w:szCs w:val="20"/>
              </w:rPr>
              <w:t>iLit</w:t>
            </w:r>
          </w:p>
          <w:p w14:paraId="55B2E314" w14:textId="77777777" w:rsidR="00BE3BCA" w:rsidRPr="00BA35B7" w:rsidRDefault="00BE3BCA" w:rsidP="002B482F">
            <w:pPr>
              <w:spacing w:before="31" w:after="31"/>
              <w:jc w:val="center"/>
              <w:rPr>
                <w:rFonts w:ascii="Gill Sans MT" w:hAnsi="Gill Sans MT" w:cs="Arial"/>
                <w:sz w:val="20"/>
                <w:szCs w:val="20"/>
              </w:rPr>
            </w:pPr>
            <w:r w:rsidRPr="00BA35B7">
              <w:rPr>
                <w:rFonts w:ascii="Gill Sans MT" w:hAnsi="Gill Sans MT" w:cs="Arial"/>
                <w:sz w:val="20"/>
                <w:szCs w:val="20"/>
              </w:rPr>
              <w:t>Comparison</w:t>
            </w:r>
          </w:p>
        </w:tc>
        <w:tc>
          <w:tcPr>
            <w:tcW w:w="1262" w:type="dxa"/>
            <w:tcBorders>
              <w:left w:val="nil"/>
              <w:right w:val="nil"/>
            </w:tcBorders>
          </w:tcPr>
          <w:p w14:paraId="4ABE6BE7" w14:textId="77777777" w:rsidR="00BE3BCA" w:rsidRPr="0069567F" w:rsidRDefault="00576F5B" w:rsidP="002B482F">
            <w:pPr>
              <w:spacing w:before="31" w:after="31"/>
              <w:jc w:val="center"/>
              <w:rPr>
                <w:rFonts w:ascii="Gill Sans MT" w:hAnsi="Gill Sans MT" w:cs="Arial"/>
                <w:sz w:val="20"/>
                <w:szCs w:val="20"/>
              </w:rPr>
            </w:pPr>
            <w:r>
              <w:rPr>
                <w:rFonts w:ascii="Gill Sans MT" w:hAnsi="Gill Sans MT" w:cs="Arial"/>
                <w:sz w:val="20"/>
                <w:szCs w:val="20"/>
              </w:rPr>
              <w:t>7</w:t>
            </w:r>
          </w:p>
          <w:p w14:paraId="063E5D81" w14:textId="77777777" w:rsidR="00BE3BCA" w:rsidRPr="0069567F" w:rsidRDefault="00576F5B" w:rsidP="002B482F">
            <w:pPr>
              <w:spacing w:before="31" w:after="31"/>
              <w:jc w:val="center"/>
              <w:rPr>
                <w:rFonts w:ascii="Gill Sans MT" w:hAnsi="Gill Sans MT" w:cs="Arial"/>
                <w:sz w:val="20"/>
                <w:szCs w:val="20"/>
              </w:rPr>
            </w:pPr>
            <w:r>
              <w:rPr>
                <w:rFonts w:ascii="Gill Sans MT" w:hAnsi="Gill Sans MT" w:cs="Arial"/>
                <w:sz w:val="20"/>
                <w:szCs w:val="20"/>
              </w:rPr>
              <w:t>11</w:t>
            </w:r>
          </w:p>
        </w:tc>
        <w:tc>
          <w:tcPr>
            <w:tcW w:w="2430" w:type="dxa"/>
            <w:tcBorders>
              <w:left w:val="nil"/>
              <w:right w:val="nil"/>
            </w:tcBorders>
          </w:tcPr>
          <w:p w14:paraId="2195D683" w14:textId="77777777" w:rsidR="00BE3BCA" w:rsidRPr="0069567F" w:rsidRDefault="00BE3BCA" w:rsidP="002B482F">
            <w:pPr>
              <w:spacing w:before="62" w:after="31"/>
              <w:jc w:val="center"/>
              <w:rPr>
                <w:rFonts w:ascii="Gill Sans MT" w:hAnsi="Gill Sans MT" w:cs="Arial"/>
                <w:sz w:val="20"/>
                <w:szCs w:val="20"/>
              </w:rPr>
            </w:pPr>
            <w:r w:rsidRPr="0069567F">
              <w:rPr>
                <w:rFonts w:ascii="Gill Sans MT" w:hAnsi="Gill Sans MT" w:cs="Arial"/>
                <w:sz w:val="20"/>
                <w:szCs w:val="20"/>
              </w:rPr>
              <w:t>11 CP and 7 iLit classrooms</w:t>
            </w:r>
          </w:p>
        </w:tc>
        <w:tc>
          <w:tcPr>
            <w:tcW w:w="1530" w:type="dxa"/>
            <w:tcBorders>
              <w:left w:val="nil"/>
              <w:right w:val="nil"/>
            </w:tcBorders>
          </w:tcPr>
          <w:p w14:paraId="0C531F5B" w14:textId="77777777" w:rsidR="00BE3BCA" w:rsidRPr="0069567F" w:rsidRDefault="00BE3BCA" w:rsidP="002B482F">
            <w:pPr>
              <w:spacing w:before="31" w:after="31"/>
              <w:jc w:val="center"/>
              <w:rPr>
                <w:rFonts w:ascii="Gill Sans MT" w:hAnsi="Gill Sans MT" w:cs="Arial"/>
                <w:sz w:val="20"/>
                <w:szCs w:val="20"/>
              </w:rPr>
            </w:pPr>
            <w:r w:rsidRPr="0069567F">
              <w:rPr>
                <w:rFonts w:ascii="Gill Sans MT" w:hAnsi="Gill Sans MT" w:cs="Arial"/>
                <w:sz w:val="20"/>
                <w:szCs w:val="20"/>
              </w:rPr>
              <w:t>Yes</w:t>
            </w:r>
          </w:p>
          <w:p w14:paraId="6BE6AFA3" w14:textId="77777777" w:rsidR="00BE3BCA" w:rsidRPr="0069567F" w:rsidRDefault="00BE3BCA" w:rsidP="002B482F">
            <w:pPr>
              <w:spacing w:before="31" w:after="31"/>
              <w:jc w:val="center"/>
              <w:rPr>
                <w:rFonts w:ascii="Gill Sans MT" w:hAnsi="Gill Sans MT" w:cs="Arial"/>
                <w:sz w:val="20"/>
                <w:szCs w:val="20"/>
              </w:rPr>
            </w:pPr>
            <w:r w:rsidRPr="0069567F">
              <w:rPr>
                <w:rFonts w:ascii="Gill Sans MT" w:hAnsi="Gill Sans MT" w:cs="Arial"/>
                <w:sz w:val="20"/>
                <w:szCs w:val="20"/>
              </w:rPr>
              <w:t>Yes</w:t>
            </w:r>
          </w:p>
        </w:tc>
        <w:tc>
          <w:tcPr>
            <w:tcW w:w="3330" w:type="dxa"/>
            <w:tcBorders>
              <w:left w:val="nil"/>
              <w:right w:val="nil"/>
            </w:tcBorders>
          </w:tcPr>
          <w:p w14:paraId="0BECE84B" w14:textId="77777777" w:rsidR="00BE3BCA" w:rsidRPr="009B4713" w:rsidRDefault="00BE3BCA" w:rsidP="002B482F">
            <w:pPr>
              <w:spacing w:before="31" w:after="31"/>
              <w:jc w:val="center"/>
              <w:rPr>
                <w:rFonts w:ascii="Gill Sans MT" w:hAnsi="Gill Sans MT" w:cs="Arial"/>
                <w:sz w:val="20"/>
                <w:szCs w:val="20"/>
              </w:rPr>
            </w:pPr>
            <w:r>
              <w:rPr>
                <w:rFonts w:ascii="Gill Sans MT" w:hAnsi="Gill Sans MT" w:cs="Arial"/>
                <w:sz w:val="20"/>
                <w:szCs w:val="20"/>
              </w:rPr>
              <w:t>84</w:t>
            </w:r>
            <w:r w:rsidRPr="009B4713">
              <w:rPr>
                <w:rFonts w:ascii="Gill Sans MT" w:hAnsi="Gill Sans MT" w:cs="Arial"/>
                <w:sz w:val="20"/>
                <w:szCs w:val="20"/>
              </w:rPr>
              <w:t xml:space="preserve">% </w:t>
            </w:r>
            <w:r>
              <w:rPr>
                <w:rFonts w:ascii="Gill Sans MT" w:hAnsi="Gill Sans MT" w:cs="Arial"/>
                <w:sz w:val="20"/>
                <w:szCs w:val="20"/>
              </w:rPr>
              <w:t xml:space="preserve">iLit </w:t>
            </w:r>
            <w:r w:rsidRPr="009B4713">
              <w:rPr>
                <w:rFonts w:ascii="Gill Sans MT" w:hAnsi="Gill Sans MT" w:cs="Arial"/>
                <w:sz w:val="20"/>
                <w:szCs w:val="20"/>
              </w:rPr>
              <w:t>students</w:t>
            </w:r>
            <w:r>
              <w:rPr>
                <w:rFonts w:ascii="Gill Sans MT" w:hAnsi="Gill Sans MT" w:cs="Arial"/>
                <w:sz w:val="20"/>
                <w:szCs w:val="20"/>
              </w:rPr>
              <w:t xml:space="preserve"> in classrooms with only study students</w:t>
            </w:r>
            <w:r w:rsidRPr="009B4713">
              <w:rPr>
                <w:rFonts w:ascii="Gill Sans MT" w:hAnsi="Gill Sans MT" w:cs="Arial"/>
                <w:sz w:val="20"/>
                <w:szCs w:val="20"/>
              </w:rPr>
              <w:t xml:space="preserve"> </w:t>
            </w:r>
          </w:p>
        </w:tc>
        <w:tc>
          <w:tcPr>
            <w:tcW w:w="1094" w:type="dxa"/>
            <w:tcBorders>
              <w:left w:val="nil"/>
            </w:tcBorders>
          </w:tcPr>
          <w:p w14:paraId="1A984443" w14:textId="77777777" w:rsidR="00BE3BCA" w:rsidRPr="0069567F" w:rsidRDefault="00BE3BCA" w:rsidP="002B482F">
            <w:pPr>
              <w:spacing w:before="31" w:after="31"/>
              <w:jc w:val="center"/>
              <w:rPr>
                <w:rFonts w:ascii="Gill Sans MT" w:hAnsi="Gill Sans MT" w:cs="Arial"/>
                <w:sz w:val="20"/>
                <w:szCs w:val="20"/>
              </w:rPr>
            </w:pPr>
            <w:r w:rsidRPr="0069567F">
              <w:rPr>
                <w:rFonts w:ascii="Gill Sans MT" w:hAnsi="Gill Sans MT" w:cs="Arial"/>
                <w:sz w:val="20"/>
                <w:szCs w:val="20"/>
              </w:rPr>
              <w:t>80</w:t>
            </w:r>
          </w:p>
          <w:p w14:paraId="5E7F8EF6" w14:textId="77777777" w:rsidR="00BE3BCA" w:rsidRPr="001D5969" w:rsidRDefault="00BE3BCA" w:rsidP="002B482F">
            <w:pPr>
              <w:spacing w:before="31" w:after="31"/>
              <w:jc w:val="center"/>
              <w:rPr>
                <w:rFonts w:ascii="Gill Sans MT" w:hAnsi="Gill Sans MT" w:cs="Arial"/>
                <w:sz w:val="20"/>
                <w:szCs w:val="20"/>
                <w:highlight w:val="yellow"/>
              </w:rPr>
            </w:pPr>
            <w:r>
              <w:rPr>
                <w:rFonts w:ascii="Gill Sans MT" w:hAnsi="Gill Sans MT" w:cs="Arial"/>
                <w:sz w:val="20"/>
                <w:szCs w:val="20"/>
              </w:rPr>
              <w:t>59</w:t>
            </w:r>
          </w:p>
        </w:tc>
      </w:tr>
      <w:tr w:rsidR="00BE3BCA" w:rsidRPr="00BA35B7" w14:paraId="5DCE9B8F" w14:textId="77777777" w:rsidTr="002B482F">
        <w:trPr>
          <w:cantSplit/>
          <w:jc w:val="center"/>
        </w:trPr>
        <w:tc>
          <w:tcPr>
            <w:tcW w:w="11103" w:type="dxa"/>
            <w:gridSpan w:val="7"/>
          </w:tcPr>
          <w:p w14:paraId="2FDA1E71" w14:textId="77777777" w:rsidR="00BE3BCA" w:rsidRPr="00521AB9" w:rsidRDefault="00BE3BCA" w:rsidP="006433AD">
            <w:pPr>
              <w:spacing w:before="120" w:after="31"/>
              <w:jc w:val="center"/>
              <w:rPr>
                <w:rFonts w:ascii="Gill Sans MT" w:hAnsi="Gill Sans MT" w:cs="Arial"/>
                <w:sz w:val="20"/>
                <w:szCs w:val="20"/>
              </w:rPr>
            </w:pPr>
            <w:r w:rsidRPr="00521AB9">
              <w:rPr>
                <w:rFonts w:ascii="Gill Sans MT" w:hAnsi="Gill Sans MT" w:cs="Arial"/>
                <w:sz w:val="20"/>
                <w:szCs w:val="20"/>
              </w:rPr>
              <w:t>Arizona District</w:t>
            </w:r>
          </w:p>
        </w:tc>
      </w:tr>
      <w:tr w:rsidR="00BE3BCA" w:rsidRPr="00BA35B7" w14:paraId="55A25273" w14:textId="77777777" w:rsidTr="002B482F">
        <w:trPr>
          <w:cantSplit/>
          <w:jc w:val="center"/>
        </w:trPr>
        <w:tc>
          <w:tcPr>
            <w:tcW w:w="1457" w:type="dxa"/>
            <w:gridSpan w:val="2"/>
            <w:tcBorders>
              <w:right w:val="nil"/>
            </w:tcBorders>
          </w:tcPr>
          <w:p w14:paraId="5A3293DD" w14:textId="77777777" w:rsidR="00BE3BCA" w:rsidRPr="00521AB9" w:rsidRDefault="00BE3BCA" w:rsidP="002B482F">
            <w:pPr>
              <w:spacing w:before="31" w:after="31"/>
              <w:jc w:val="center"/>
              <w:rPr>
                <w:rFonts w:ascii="Gill Sans MT" w:hAnsi="Gill Sans MT" w:cs="Arial"/>
                <w:sz w:val="20"/>
                <w:szCs w:val="20"/>
              </w:rPr>
            </w:pPr>
            <w:r w:rsidRPr="00521AB9">
              <w:rPr>
                <w:rFonts w:ascii="Gill Sans MT" w:hAnsi="Gill Sans MT" w:cs="Arial"/>
                <w:sz w:val="20"/>
                <w:szCs w:val="20"/>
              </w:rPr>
              <w:t>iLit</w:t>
            </w:r>
          </w:p>
          <w:p w14:paraId="615F7A19" w14:textId="77777777" w:rsidR="00BE3BCA" w:rsidRPr="00521AB9" w:rsidRDefault="00BE3BCA" w:rsidP="002B482F">
            <w:pPr>
              <w:spacing w:before="31" w:after="31"/>
              <w:jc w:val="center"/>
              <w:rPr>
                <w:rFonts w:ascii="Gill Sans MT" w:hAnsi="Gill Sans MT" w:cs="Arial"/>
                <w:sz w:val="20"/>
                <w:szCs w:val="20"/>
              </w:rPr>
            </w:pPr>
            <w:r w:rsidRPr="00521AB9">
              <w:rPr>
                <w:rFonts w:ascii="Gill Sans MT" w:hAnsi="Gill Sans MT" w:cs="Arial"/>
                <w:sz w:val="20"/>
                <w:szCs w:val="20"/>
              </w:rPr>
              <w:t>Comparison</w:t>
            </w:r>
          </w:p>
        </w:tc>
        <w:tc>
          <w:tcPr>
            <w:tcW w:w="1262" w:type="dxa"/>
            <w:tcBorders>
              <w:left w:val="nil"/>
              <w:right w:val="nil"/>
            </w:tcBorders>
          </w:tcPr>
          <w:p w14:paraId="26DBF1BE" w14:textId="77777777" w:rsidR="00BE3BCA" w:rsidRPr="00521AB9" w:rsidRDefault="00576F5B" w:rsidP="002B482F">
            <w:pPr>
              <w:spacing w:before="31" w:after="31"/>
              <w:jc w:val="center"/>
              <w:rPr>
                <w:rFonts w:ascii="Gill Sans MT" w:hAnsi="Gill Sans MT" w:cs="Arial"/>
                <w:sz w:val="20"/>
                <w:szCs w:val="20"/>
              </w:rPr>
            </w:pPr>
            <w:r>
              <w:rPr>
                <w:rFonts w:ascii="Gill Sans MT" w:hAnsi="Gill Sans MT" w:cs="Arial"/>
                <w:sz w:val="20"/>
                <w:szCs w:val="20"/>
              </w:rPr>
              <w:t>1</w:t>
            </w:r>
          </w:p>
          <w:p w14:paraId="5ED5C5A3" w14:textId="77777777" w:rsidR="00BE3BCA" w:rsidRPr="00521AB9" w:rsidRDefault="00576F5B" w:rsidP="002B482F">
            <w:pPr>
              <w:spacing w:before="31" w:after="31"/>
              <w:jc w:val="center"/>
              <w:rPr>
                <w:rFonts w:ascii="Gill Sans MT" w:hAnsi="Gill Sans MT" w:cs="Arial"/>
                <w:sz w:val="20"/>
                <w:szCs w:val="20"/>
              </w:rPr>
            </w:pPr>
            <w:r>
              <w:rPr>
                <w:rFonts w:ascii="Gill Sans MT" w:hAnsi="Gill Sans MT" w:cs="Arial"/>
                <w:sz w:val="20"/>
                <w:szCs w:val="20"/>
              </w:rPr>
              <w:t>2</w:t>
            </w:r>
          </w:p>
        </w:tc>
        <w:tc>
          <w:tcPr>
            <w:tcW w:w="2430" w:type="dxa"/>
            <w:tcBorders>
              <w:left w:val="nil"/>
              <w:right w:val="nil"/>
            </w:tcBorders>
          </w:tcPr>
          <w:p w14:paraId="4A0BE039" w14:textId="77777777" w:rsidR="00BE3BCA" w:rsidRPr="00521AB9" w:rsidRDefault="00BE3BCA" w:rsidP="002B482F">
            <w:pPr>
              <w:spacing w:before="124" w:after="31"/>
              <w:jc w:val="center"/>
              <w:rPr>
                <w:rFonts w:ascii="Gill Sans MT" w:hAnsi="Gill Sans MT" w:cs="Arial"/>
                <w:sz w:val="20"/>
                <w:szCs w:val="20"/>
              </w:rPr>
            </w:pPr>
            <w:r w:rsidRPr="00521AB9">
              <w:rPr>
                <w:rFonts w:ascii="Gill Sans MT" w:hAnsi="Gill Sans MT" w:cs="Arial"/>
                <w:sz w:val="20"/>
                <w:szCs w:val="20"/>
              </w:rPr>
              <w:t>3 different teachers</w:t>
            </w:r>
          </w:p>
        </w:tc>
        <w:tc>
          <w:tcPr>
            <w:tcW w:w="1530" w:type="dxa"/>
            <w:tcBorders>
              <w:left w:val="nil"/>
              <w:right w:val="nil"/>
            </w:tcBorders>
          </w:tcPr>
          <w:p w14:paraId="44A5B4A9" w14:textId="77777777" w:rsidR="00BE3BCA" w:rsidRPr="00521AB9" w:rsidRDefault="00BE3BCA" w:rsidP="002B482F">
            <w:pPr>
              <w:spacing w:before="31" w:after="31"/>
              <w:jc w:val="center"/>
              <w:rPr>
                <w:rFonts w:ascii="Gill Sans MT" w:hAnsi="Gill Sans MT" w:cs="Arial"/>
                <w:sz w:val="20"/>
                <w:szCs w:val="20"/>
              </w:rPr>
            </w:pPr>
            <w:r w:rsidRPr="00521AB9">
              <w:rPr>
                <w:rFonts w:ascii="Gill Sans MT" w:hAnsi="Gill Sans MT" w:cs="Arial"/>
                <w:sz w:val="20"/>
                <w:szCs w:val="20"/>
              </w:rPr>
              <w:t>No</w:t>
            </w:r>
          </w:p>
          <w:p w14:paraId="24109BF3" w14:textId="77777777" w:rsidR="00BE3BCA" w:rsidRPr="00521AB9" w:rsidRDefault="00BE3BCA" w:rsidP="002B482F">
            <w:pPr>
              <w:spacing w:before="31" w:after="31"/>
              <w:jc w:val="center"/>
              <w:rPr>
                <w:rFonts w:ascii="Gill Sans MT" w:hAnsi="Gill Sans MT" w:cs="Arial"/>
                <w:sz w:val="20"/>
                <w:szCs w:val="20"/>
              </w:rPr>
            </w:pPr>
            <w:r w:rsidRPr="00521AB9">
              <w:rPr>
                <w:rFonts w:ascii="Gill Sans MT" w:hAnsi="Gill Sans MT" w:cs="Arial"/>
                <w:sz w:val="20"/>
                <w:szCs w:val="20"/>
              </w:rPr>
              <w:t>Yes</w:t>
            </w:r>
          </w:p>
        </w:tc>
        <w:tc>
          <w:tcPr>
            <w:tcW w:w="3330" w:type="dxa"/>
            <w:tcBorders>
              <w:left w:val="nil"/>
              <w:right w:val="nil"/>
            </w:tcBorders>
          </w:tcPr>
          <w:p w14:paraId="2C3B89FA" w14:textId="77777777" w:rsidR="00BE3BCA" w:rsidRPr="00521AB9" w:rsidRDefault="00BE3BCA" w:rsidP="002B482F">
            <w:pPr>
              <w:spacing w:before="120" w:after="31"/>
              <w:jc w:val="center"/>
              <w:rPr>
                <w:rFonts w:ascii="Gill Sans MT" w:hAnsi="Gill Sans MT" w:cs="Arial"/>
                <w:sz w:val="20"/>
                <w:szCs w:val="20"/>
              </w:rPr>
            </w:pPr>
            <w:r w:rsidRPr="00521AB9">
              <w:rPr>
                <w:rFonts w:ascii="Gill Sans MT" w:hAnsi="Gill Sans MT" w:cs="Arial"/>
                <w:sz w:val="20"/>
                <w:szCs w:val="20"/>
              </w:rPr>
              <w:t>CP classrooms 6-18% study students</w:t>
            </w:r>
          </w:p>
        </w:tc>
        <w:tc>
          <w:tcPr>
            <w:tcW w:w="1094" w:type="dxa"/>
            <w:tcBorders>
              <w:left w:val="nil"/>
            </w:tcBorders>
          </w:tcPr>
          <w:p w14:paraId="0329075A" w14:textId="77777777" w:rsidR="00BE3BCA" w:rsidRPr="00521AB9" w:rsidRDefault="00BE3BCA" w:rsidP="002B482F">
            <w:pPr>
              <w:spacing w:before="31" w:after="31"/>
              <w:jc w:val="center"/>
              <w:rPr>
                <w:rFonts w:ascii="Gill Sans MT" w:hAnsi="Gill Sans MT" w:cs="Arial"/>
                <w:sz w:val="20"/>
                <w:szCs w:val="20"/>
              </w:rPr>
            </w:pPr>
            <w:r w:rsidRPr="00521AB9">
              <w:rPr>
                <w:rFonts w:ascii="Gill Sans MT" w:hAnsi="Gill Sans MT" w:cs="Arial"/>
                <w:sz w:val="20"/>
                <w:szCs w:val="20"/>
              </w:rPr>
              <w:t>70</w:t>
            </w:r>
          </w:p>
          <w:p w14:paraId="580BBEC4" w14:textId="77777777" w:rsidR="00BE3BCA" w:rsidRPr="00521AB9" w:rsidRDefault="00BE3BCA" w:rsidP="002B482F">
            <w:pPr>
              <w:spacing w:before="31" w:after="31"/>
              <w:jc w:val="center"/>
              <w:rPr>
                <w:rFonts w:ascii="Gill Sans MT" w:hAnsi="Gill Sans MT" w:cs="Arial"/>
                <w:sz w:val="20"/>
                <w:szCs w:val="20"/>
              </w:rPr>
            </w:pPr>
            <w:r w:rsidRPr="00521AB9">
              <w:rPr>
                <w:rFonts w:ascii="Gill Sans MT" w:hAnsi="Gill Sans MT" w:cs="Arial"/>
                <w:sz w:val="20"/>
                <w:szCs w:val="20"/>
              </w:rPr>
              <w:t>70</w:t>
            </w:r>
          </w:p>
        </w:tc>
      </w:tr>
      <w:tr w:rsidR="00BE3BCA" w:rsidRPr="00BA35B7" w14:paraId="2FA7C57E" w14:textId="77777777" w:rsidTr="002B482F">
        <w:trPr>
          <w:cantSplit/>
          <w:jc w:val="center"/>
        </w:trPr>
        <w:tc>
          <w:tcPr>
            <w:tcW w:w="11103" w:type="dxa"/>
            <w:gridSpan w:val="7"/>
          </w:tcPr>
          <w:p w14:paraId="4F41F02D" w14:textId="77777777" w:rsidR="00BE3BCA" w:rsidRPr="00521AB9" w:rsidRDefault="00BE3BCA" w:rsidP="006433AD">
            <w:pPr>
              <w:spacing w:before="120" w:after="31"/>
              <w:jc w:val="center"/>
              <w:rPr>
                <w:rFonts w:ascii="Gill Sans MT" w:hAnsi="Gill Sans MT" w:cs="Arial"/>
                <w:sz w:val="20"/>
                <w:szCs w:val="20"/>
              </w:rPr>
            </w:pPr>
            <w:r w:rsidRPr="00521AB9">
              <w:rPr>
                <w:rFonts w:ascii="Gill Sans MT" w:hAnsi="Gill Sans MT" w:cs="Arial"/>
                <w:sz w:val="20"/>
                <w:szCs w:val="20"/>
              </w:rPr>
              <w:t>California District</w:t>
            </w:r>
          </w:p>
        </w:tc>
      </w:tr>
      <w:tr w:rsidR="00BE3BCA" w:rsidRPr="00BA35B7" w14:paraId="1C50A2AF" w14:textId="77777777" w:rsidTr="002B482F">
        <w:trPr>
          <w:cantSplit/>
          <w:jc w:val="center"/>
        </w:trPr>
        <w:tc>
          <w:tcPr>
            <w:tcW w:w="1457" w:type="dxa"/>
            <w:gridSpan w:val="2"/>
            <w:tcBorders>
              <w:right w:val="nil"/>
            </w:tcBorders>
          </w:tcPr>
          <w:p w14:paraId="52502FC4" w14:textId="77777777" w:rsidR="00BE3BCA" w:rsidRPr="00521AB9" w:rsidRDefault="00BE3BCA" w:rsidP="002B482F">
            <w:pPr>
              <w:spacing w:before="31" w:after="31"/>
              <w:jc w:val="center"/>
              <w:rPr>
                <w:rFonts w:ascii="Gill Sans MT" w:hAnsi="Gill Sans MT" w:cs="Arial"/>
                <w:sz w:val="20"/>
                <w:szCs w:val="20"/>
              </w:rPr>
            </w:pPr>
            <w:r w:rsidRPr="00521AB9">
              <w:rPr>
                <w:rFonts w:ascii="Gill Sans MT" w:hAnsi="Gill Sans MT" w:cs="Arial"/>
                <w:sz w:val="20"/>
                <w:szCs w:val="20"/>
              </w:rPr>
              <w:t>iLit</w:t>
            </w:r>
          </w:p>
          <w:p w14:paraId="6945467F" w14:textId="77777777" w:rsidR="00BE3BCA" w:rsidRPr="00521AB9" w:rsidRDefault="00BE3BCA" w:rsidP="002B482F">
            <w:pPr>
              <w:spacing w:before="31" w:after="31"/>
              <w:jc w:val="center"/>
              <w:rPr>
                <w:rFonts w:ascii="Gill Sans MT" w:hAnsi="Gill Sans MT" w:cs="Arial"/>
                <w:sz w:val="20"/>
                <w:szCs w:val="20"/>
              </w:rPr>
            </w:pPr>
            <w:r w:rsidRPr="00521AB9">
              <w:rPr>
                <w:rFonts w:ascii="Gill Sans MT" w:hAnsi="Gill Sans MT" w:cs="Arial"/>
                <w:sz w:val="20"/>
                <w:szCs w:val="20"/>
              </w:rPr>
              <w:t>Comparison</w:t>
            </w:r>
          </w:p>
        </w:tc>
        <w:tc>
          <w:tcPr>
            <w:tcW w:w="1262" w:type="dxa"/>
            <w:tcBorders>
              <w:left w:val="nil"/>
              <w:right w:val="nil"/>
            </w:tcBorders>
          </w:tcPr>
          <w:p w14:paraId="21AE5D3D" w14:textId="77777777" w:rsidR="00BE3BCA" w:rsidRPr="00521AB9" w:rsidRDefault="00BE3BCA" w:rsidP="002B482F">
            <w:pPr>
              <w:spacing w:before="31" w:after="31"/>
              <w:jc w:val="center"/>
              <w:rPr>
                <w:rFonts w:ascii="Gill Sans MT" w:hAnsi="Gill Sans MT" w:cs="Arial"/>
                <w:sz w:val="20"/>
                <w:szCs w:val="20"/>
              </w:rPr>
            </w:pPr>
            <w:r w:rsidRPr="00521AB9">
              <w:rPr>
                <w:rFonts w:ascii="Gill Sans MT" w:hAnsi="Gill Sans MT" w:cs="Arial"/>
                <w:sz w:val="20"/>
                <w:szCs w:val="20"/>
              </w:rPr>
              <w:t>1</w:t>
            </w:r>
          </w:p>
          <w:p w14:paraId="393BC49A" w14:textId="77777777" w:rsidR="00BE3BCA" w:rsidRPr="00521AB9" w:rsidRDefault="00576F5B" w:rsidP="002B482F">
            <w:pPr>
              <w:spacing w:before="31" w:after="31"/>
              <w:jc w:val="center"/>
              <w:rPr>
                <w:rFonts w:ascii="Gill Sans MT" w:hAnsi="Gill Sans MT" w:cs="Arial"/>
                <w:sz w:val="20"/>
                <w:szCs w:val="20"/>
              </w:rPr>
            </w:pPr>
            <w:r>
              <w:rPr>
                <w:rFonts w:ascii="Gill Sans MT" w:hAnsi="Gill Sans MT" w:cs="Arial"/>
                <w:sz w:val="20"/>
                <w:szCs w:val="20"/>
              </w:rPr>
              <w:t>1</w:t>
            </w:r>
          </w:p>
        </w:tc>
        <w:tc>
          <w:tcPr>
            <w:tcW w:w="2430" w:type="dxa"/>
            <w:tcBorders>
              <w:left w:val="nil"/>
              <w:right w:val="nil"/>
            </w:tcBorders>
          </w:tcPr>
          <w:p w14:paraId="44F220CF" w14:textId="77777777" w:rsidR="00BE3BCA" w:rsidRPr="00521AB9" w:rsidRDefault="00BE3BCA" w:rsidP="002B482F">
            <w:pPr>
              <w:spacing w:before="124" w:after="31"/>
              <w:jc w:val="center"/>
              <w:rPr>
                <w:rFonts w:ascii="Gill Sans MT" w:hAnsi="Gill Sans MT" w:cs="Arial"/>
                <w:sz w:val="20"/>
                <w:szCs w:val="20"/>
              </w:rPr>
            </w:pPr>
            <w:r w:rsidRPr="00521AB9">
              <w:rPr>
                <w:rFonts w:ascii="Gill Sans MT" w:hAnsi="Gill Sans MT" w:cs="Arial"/>
                <w:sz w:val="20"/>
                <w:szCs w:val="20"/>
              </w:rPr>
              <w:t>2 different teachers</w:t>
            </w:r>
          </w:p>
        </w:tc>
        <w:tc>
          <w:tcPr>
            <w:tcW w:w="1530" w:type="dxa"/>
            <w:tcBorders>
              <w:left w:val="nil"/>
              <w:right w:val="nil"/>
            </w:tcBorders>
          </w:tcPr>
          <w:p w14:paraId="17E18F60" w14:textId="77777777" w:rsidR="00BE3BCA" w:rsidRPr="00521AB9" w:rsidRDefault="00BE3BCA" w:rsidP="002B482F">
            <w:pPr>
              <w:spacing w:before="31" w:after="31"/>
              <w:jc w:val="center"/>
              <w:rPr>
                <w:rFonts w:ascii="Gill Sans MT" w:hAnsi="Gill Sans MT" w:cs="Arial"/>
                <w:sz w:val="20"/>
                <w:szCs w:val="20"/>
              </w:rPr>
            </w:pPr>
            <w:r w:rsidRPr="00521AB9">
              <w:rPr>
                <w:rFonts w:ascii="Gill Sans MT" w:hAnsi="Gill Sans MT" w:cs="Arial"/>
                <w:sz w:val="20"/>
                <w:szCs w:val="20"/>
              </w:rPr>
              <w:t>No</w:t>
            </w:r>
          </w:p>
          <w:p w14:paraId="4346181D" w14:textId="77777777" w:rsidR="00BE3BCA" w:rsidRPr="00521AB9" w:rsidRDefault="00BE3BCA" w:rsidP="002B482F">
            <w:pPr>
              <w:spacing w:before="31" w:after="31"/>
              <w:jc w:val="center"/>
              <w:rPr>
                <w:rFonts w:ascii="Gill Sans MT" w:hAnsi="Gill Sans MT" w:cs="Arial"/>
                <w:sz w:val="20"/>
                <w:szCs w:val="20"/>
              </w:rPr>
            </w:pPr>
            <w:r w:rsidRPr="00521AB9">
              <w:rPr>
                <w:rFonts w:ascii="Gill Sans MT" w:hAnsi="Gill Sans MT" w:cs="Arial"/>
                <w:sz w:val="20"/>
                <w:szCs w:val="20"/>
              </w:rPr>
              <w:t>Yes</w:t>
            </w:r>
          </w:p>
        </w:tc>
        <w:tc>
          <w:tcPr>
            <w:tcW w:w="3330" w:type="dxa"/>
            <w:tcBorders>
              <w:left w:val="nil"/>
              <w:right w:val="nil"/>
            </w:tcBorders>
          </w:tcPr>
          <w:p w14:paraId="7317D9E3" w14:textId="77777777" w:rsidR="00BE3BCA" w:rsidRPr="00521AB9" w:rsidRDefault="00BE3BCA" w:rsidP="002B482F">
            <w:pPr>
              <w:spacing w:before="120" w:after="31"/>
              <w:jc w:val="center"/>
              <w:rPr>
                <w:rFonts w:ascii="Gill Sans MT" w:hAnsi="Gill Sans MT" w:cs="Arial"/>
                <w:sz w:val="20"/>
                <w:szCs w:val="20"/>
              </w:rPr>
            </w:pPr>
            <w:r>
              <w:rPr>
                <w:rFonts w:ascii="Gill Sans MT" w:hAnsi="Gill Sans MT" w:cs="Arial"/>
                <w:sz w:val="20"/>
                <w:szCs w:val="20"/>
              </w:rPr>
              <w:t xml:space="preserve">CP classroom 42% </w:t>
            </w:r>
            <w:r w:rsidRPr="00521AB9">
              <w:rPr>
                <w:rFonts w:ascii="Gill Sans MT" w:hAnsi="Gill Sans MT" w:cs="Arial"/>
                <w:sz w:val="20"/>
                <w:szCs w:val="20"/>
              </w:rPr>
              <w:t>study students</w:t>
            </w:r>
          </w:p>
        </w:tc>
        <w:tc>
          <w:tcPr>
            <w:tcW w:w="1094" w:type="dxa"/>
            <w:tcBorders>
              <w:left w:val="nil"/>
            </w:tcBorders>
          </w:tcPr>
          <w:p w14:paraId="750ED2FF" w14:textId="77777777" w:rsidR="00BE3BCA" w:rsidRPr="00521AB9" w:rsidRDefault="00BE3BCA" w:rsidP="002B482F">
            <w:pPr>
              <w:spacing w:before="31" w:after="31"/>
              <w:jc w:val="center"/>
              <w:rPr>
                <w:rFonts w:ascii="Gill Sans MT" w:hAnsi="Gill Sans MT" w:cs="Arial"/>
                <w:sz w:val="20"/>
                <w:szCs w:val="20"/>
              </w:rPr>
            </w:pPr>
            <w:r w:rsidRPr="00521AB9">
              <w:rPr>
                <w:rFonts w:ascii="Gill Sans MT" w:hAnsi="Gill Sans MT" w:cs="Arial"/>
                <w:sz w:val="20"/>
                <w:szCs w:val="20"/>
              </w:rPr>
              <w:t>90</w:t>
            </w:r>
          </w:p>
          <w:p w14:paraId="54C17274" w14:textId="77777777" w:rsidR="00BE3BCA" w:rsidRPr="00521AB9" w:rsidRDefault="00BE3BCA" w:rsidP="002B482F">
            <w:pPr>
              <w:spacing w:before="31" w:after="31"/>
              <w:jc w:val="center"/>
              <w:rPr>
                <w:rFonts w:ascii="Gill Sans MT" w:hAnsi="Gill Sans MT" w:cs="Arial"/>
                <w:sz w:val="20"/>
                <w:szCs w:val="20"/>
              </w:rPr>
            </w:pPr>
            <w:r>
              <w:rPr>
                <w:rFonts w:ascii="Gill Sans MT" w:hAnsi="Gill Sans MT" w:cs="Arial"/>
                <w:sz w:val="20"/>
                <w:szCs w:val="20"/>
              </w:rPr>
              <w:t>7</w:t>
            </w:r>
            <w:r w:rsidRPr="00521AB9">
              <w:rPr>
                <w:rFonts w:ascii="Gill Sans MT" w:hAnsi="Gill Sans MT" w:cs="Arial"/>
                <w:sz w:val="20"/>
                <w:szCs w:val="20"/>
              </w:rPr>
              <w:t>0</w:t>
            </w:r>
          </w:p>
        </w:tc>
      </w:tr>
      <w:tr w:rsidR="00BE3BCA" w:rsidRPr="00BA35B7" w14:paraId="64DBFAC2" w14:textId="77777777" w:rsidTr="002B482F">
        <w:trPr>
          <w:cantSplit/>
          <w:jc w:val="center"/>
        </w:trPr>
        <w:tc>
          <w:tcPr>
            <w:tcW w:w="11103" w:type="dxa"/>
            <w:gridSpan w:val="7"/>
          </w:tcPr>
          <w:p w14:paraId="5C7DE58B" w14:textId="77777777" w:rsidR="00BE3BCA" w:rsidRPr="00D60EED" w:rsidRDefault="00BE3BCA" w:rsidP="006433AD">
            <w:pPr>
              <w:spacing w:before="120" w:after="31"/>
              <w:jc w:val="center"/>
              <w:rPr>
                <w:rFonts w:ascii="Gill Sans MT" w:hAnsi="Gill Sans MT" w:cs="Arial"/>
                <w:sz w:val="20"/>
                <w:szCs w:val="20"/>
              </w:rPr>
            </w:pPr>
            <w:r w:rsidRPr="00D60EED">
              <w:rPr>
                <w:rFonts w:ascii="Gill Sans MT" w:hAnsi="Gill Sans MT" w:cs="Arial"/>
                <w:sz w:val="20"/>
                <w:szCs w:val="20"/>
              </w:rPr>
              <w:t>Colorado District</w:t>
            </w:r>
          </w:p>
        </w:tc>
      </w:tr>
      <w:tr w:rsidR="00BE3BCA" w:rsidRPr="00BA35B7" w14:paraId="7971DEF9" w14:textId="77777777" w:rsidTr="002B482F">
        <w:trPr>
          <w:cantSplit/>
          <w:jc w:val="center"/>
        </w:trPr>
        <w:tc>
          <w:tcPr>
            <w:tcW w:w="1457" w:type="dxa"/>
            <w:gridSpan w:val="2"/>
            <w:tcBorders>
              <w:right w:val="nil"/>
            </w:tcBorders>
          </w:tcPr>
          <w:p w14:paraId="662FC894" w14:textId="77777777" w:rsidR="00BE3BCA" w:rsidRPr="00D60EED" w:rsidRDefault="00BE3BCA" w:rsidP="002B482F">
            <w:pPr>
              <w:spacing w:before="31" w:after="31"/>
              <w:jc w:val="center"/>
              <w:rPr>
                <w:rFonts w:ascii="Gill Sans MT" w:hAnsi="Gill Sans MT" w:cs="Arial"/>
                <w:sz w:val="20"/>
                <w:szCs w:val="20"/>
              </w:rPr>
            </w:pPr>
            <w:r w:rsidRPr="00D60EED">
              <w:rPr>
                <w:rFonts w:ascii="Gill Sans MT" w:hAnsi="Gill Sans MT" w:cs="Arial"/>
                <w:sz w:val="20"/>
                <w:szCs w:val="20"/>
              </w:rPr>
              <w:t>iLit</w:t>
            </w:r>
          </w:p>
          <w:p w14:paraId="522EC961" w14:textId="77777777" w:rsidR="00BE3BCA" w:rsidRPr="00D60EED" w:rsidRDefault="00BE3BCA" w:rsidP="002B482F">
            <w:pPr>
              <w:spacing w:before="31" w:after="31"/>
              <w:jc w:val="center"/>
              <w:rPr>
                <w:rFonts w:ascii="Gill Sans MT" w:hAnsi="Gill Sans MT" w:cs="Arial"/>
                <w:sz w:val="20"/>
                <w:szCs w:val="20"/>
              </w:rPr>
            </w:pPr>
            <w:r w:rsidRPr="00D60EED">
              <w:rPr>
                <w:rFonts w:ascii="Gill Sans MT" w:hAnsi="Gill Sans MT" w:cs="Arial"/>
                <w:sz w:val="20"/>
                <w:szCs w:val="20"/>
              </w:rPr>
              <w:t>Comparison</w:t>
            </w:r>
          </w:p>
        </w:tc>
        <w:tc>
          <w:tcPr>
            <w:tcW w:w="1262" w:type="dxa"/>
            <w:tcBorders>
              <w:left w:val="nil"/>
              <w:right w:val="nil"/>
            </w:tcBorders>
          </w:tcPr>
          <w:p w14:paraId="67F0727D" w14:textId="77777777" w:rsidR="00BE3BCA" w:rsidRPr="00D60EED" w:rsidRDefault="00576F5B" w:rsidP="002B482F">
            <w:pPr>
              <w:spacing w:before="31" w:after="31"/>
              <w:jc w:val="center"/>
              <w:rPr>
                <w:rFonts w:ascii="Gill Sans MT" w:hAnsi="Gill Sans MT" w:cs="Arial"/>
                <w:sz w:val="20"/>
                <w:szCs w:val="20"/>
              </w:rPr>
            </w:pPr>
            <w:r>
              <w:rPr>
                <w:rFonts w:ascii="Gill Sans MT" w:hAnsi="Gill Sans MT" w:cs="Arial"/>
                <w:sz w:val="20"/>
                <w:szCs w:val="20"/>
              </w:rPr>
              <w:t>1</w:t>
            </w:r>
          </w:p>
          <w:p w14:paraId="0E6526F7" w14:textId="77777777" w:rsidR="00BE3BCA" w:rsidRPr="00D60EED" w:rsidRDefault="00576F5B" w:rsidP="002B482F">
            <w:pPr>
              <w:spacing w:before="31" w:after="31"/>
              <w:jc w:val="center"/>
              <w:rPr>
                <w:rFonts w:ascii="Gill Sans MT" w:hAnsi="Gill Sans MT" w:cs="Arial"/>
                <w:sz w:val="20"/>
                <w:szCs w:val="20"/>
              </w:rPr>
            </w:pPr>
            <w:r>
              <w:rPr>
                <w:rFonts w:ascii="Gill Sans MT" w:hAnsi="Gill Sans MT" w:cs="Arial"/>
                <w:sz w:val="20"/>
                <w:szCs w:val="20"/>
              </w:rPr>
              <w:t>1</w:t>
            </w:r>
          </w:p>
        </w:tc>
        <w:tc>
          <w:tcPr>
            <w:tcW w:w="2430" w:type="dxa"/>
            <w:tcBorders>
              <w:left w:val="nil"/>
              <w:right w:val="nil"/>
            </w:tcBorders>
          </w:tcPr>
          <w:p w14:paraId="59948761" w14:textId="77777777" w:rsidR="00BE3BCA" w:rsidRPr="00D60EED" w:rsidRDefault="00BE3BCA" w:rsidP="002B482F">
            <w:pPr>
              <w:spacing w:before="124" w:after="31"/>
              <w:jc w:val="center"/>
              <w:rPr>
                <w:rFonts w:ascii="Gill Sans MT" w:hAnsi="Gill Sans MT" w:cs="Arial"/>
                <w:sz w:val="20"/>
                <w:szCs w:val="20"/>
              </w:rPr>
            </w:pPr>
            <w:r w:rsidRPr="00D60EED">
              <w:rPr>
                <w:rFonts w:ascii="Gill Sans MT" w:hAnsi="Gill Sans MT" w:cs="Arial"/>
                <w:sz w:val="20"/>
                <w:szCs w:val="20"/>
              </w:rPr>
              <w:t>2 different teachers</w:t>
            </w:r>
          </w:p>
        </w:tc>
        <w:tc>
          <w:tcPr>
            <w:tcW w:w="1530" w:type="dxa"/>
            <w:tcBorders>
              <w:left w:val="nil"/>
              <w:right w:val="nil"/>
            </w:tcBorders>
          </w:tcPr>
          <w:p w14:paraId="321A702D" w14:textId="77777777" w:rsidR="00BE3BCA" w:rsidRPr="00D60EED" w:rsidRDefault="00BE3BCA" w:rsidP="002B482F">
            <w:pPr>
              <w:spacing w:before="31" w:after="31"/>
              <w:jc w:val="center"/>
              <w:rPr>
                <w:rFonts w:ascii="Gill Sans MT" w:hAnsi="Gill Sans MT" w:cs="Arial"/>
                <w:sz w:val="20"/>
                <w:szCs w:val="20"/>
              </w:rPr>
            </w:pPr>
            <w:r w:rsidRPr="00D60EED">
              <w:rPr>
                <w:rFonts w:ascii="Gill Sans MT" w:hAnsi="Gill Sans MT" w:cs="Arial"/>
                <w:sz w:val="20"/>
                <w:szCs w:val="20"/>
              </w:rPr>
              <w:t>No</w:t>
            </w:r>
          </w:p>
          <w:p w14:paraId="3B4E4351" w14:textId="77777777" w:rsidR="00BE3BCA" w:rsidRPr="00D60EED" w:rsidRDefault="00BE3BCA" w:rsidP="002B482F">
            <w:pPr>
              <w:spacing w:before="31" w:after="31"/>
              <w:jc w:val="center"/>
              <w:rPr>
                <w:rFonts w:ascii="Gill Sans MT" w:hAnsi="Gill Sans MT" w:cs="Arial"/>
                <w:sz w:val="20"/>
                <w:szCs w:val="20"/>
              </w:rPr>
            </w:pPr>
            <w:r w:rsidRPr="00D60EED">
              <w:rPr>
                <w:rFonts w:ascii="Gill Sans MT" w:hAnsi="Gill Sans MT" w:cs="Arial"/>
                <w:sz w:val="20"/>
                <w:szCs w:val="20"/>
              </w:rPr>
              <w:t>Yes</w:t>
            </w:r>
          </w:p>
        </w:tc>
        <w:tc>
          <w:tcPr>
            <w:tcW w:w="3330" w:type="dxa"/>
            <w:tcBorders>
              <w:left w:val="nil"/>
              <w:right w:val="nil"/>
            </w:tcBorders>
          </w:tcPr>
          <w:p w14:paraId="44795384" w14:textId="77777777" w:rsidR="00BE3BCA" w:rsidRPr="00D60EED" w:rsidRDefault="00BE3BCA" w:rsidP="002B482F">
            <w:pPr>
              <w:spacing w:before="120" w:after="31"/>
              <w:jc w:val="center"/>
              <w:rPr>
                <w:rFonts w:ascii="Gill Sans MT" w:hAnsi="Gill Sans MT" w:cs="Arial"/>
                <w:sz w:val="20"/>
                <w:szCs w:val="20"/>
              </w:rPr>
            </w:pPr>
            <w:r>
              <w:rPr>
                <w:rFonts w:ascii="Gill Sans MT" w:hAnsi="Gill Sans MT" w:cs="Arial"/>
                <w:sz w:val="20"/>
                <w:szCs w:val="20"/>
              </w:rPr>
              <w:t xml:space="preserve">CP classroom 19% </w:t>
            </w:r>
            <w:r w:rsidRPr="00D60EED">
              <w:rPr>
                <w:rFonts w:ascii="Gill Sans MT" w:hAnsi="Gill Sans MT" w:cs="Arial"/>
                <w:sz w:val="20"/>
                <w:szCs w:val="20"/>
              </w:rPr>
              <w:t>study students</w:t>
            </w:r>
          </w:p>
        </w:tc>
        <w:tc>
          <w:tcPr>
            <w:tcW w:w="1094" w:type="dxa"/>
            <w:tcBorders>
              <w:left w:val="nil"/>
            </w:tcBorders>
          </w:tcPr>
          <w:p w14:paraId="7D85C7AA" w14:textId="77777777" w:rsidR="00BE3BCA" w:rsidRPr="00D60EED" w:rsidRDefault="00BE3BCA" w:rsidP="002B482F">
            <w:pPr>
              <w:spacing w:before="31" w:after="31"/>
              <w:jc w:val="center"/>
              <w:rPr>
                <w:rFonts w:ascii="Gill Sans MT" w:hAnsi="Gill Sans MT" w:cs="Arial"/>
                <w:sz w:val="20"/>
                <w:szCs w:val="20"/>
              </w:rPr>
            </w:pPr>
            <w:r w:rsidRPr="00D60EED">
              <w:rPr>
                <w:rFonts w:ascii="Gill Sans MT" w:hAnsi="Gill Sans MT" w:cs="Arial"/>
                <w:sz w:val="20"/>
                <w:szCs w:val="20"/>
              </w:rPr>
              <w:t>50</w:t>
            </w:r>
          </w:p>
          <w:p w14:paraId="1049C75C" w14:textId="77777777" w:rsidR="00BE3BCA" w:rsidRPr="00D60EED" w:rsidRDefault="00BE3BCA" w:rsidP="002B482F">
            <w:pPr>
              <w:spacing w:before="31" w:after="31"/>
              <w:jc w:val="center"/>
              <w:rPr>
                <w:rFonts w:ascii="Gill Sans MT" w:hAnsi="Gill Sans MT" w:cs="Arial"/>
                <w:sz w:val="20"/>
                <w:szCs w:val="20"/>
              </w:rPr>
            </w:pPr>
            <w:r w:rsidRPr="00D60EED">
              <w:rPr>
                <w:rFonts w:ascii="Gill Sans MT" w:hAnsi="Gill Sans MT" w:cs="Arial"/>
                <w:sz w:val="20"/>
                <w:szCs w:val="20"/>
              </w:rPr>
              <w:t>50</w:t>
            </w:r>
          </w:p>
        </w:tc>
      </w:tr>
      <w:tr w:rsidR="00BE3BCA" w:rsidRPr="00BA35B7" w14:paraId="0010B4F0" w14:textId="77777777" w:rsidTr="002B482F">
        <w:trPr>
          <w:cantSplit/>
          <w:jc w:val="center"/>
        </w:trPr>
        <w:tc>
          <w:tcPr>
            <w:tcW w:w="11103" w:type="dxa"/>
            <w:gridSpan w:val="7"/>
          </w:tcPr>
          <w:p w14:paraId="2083EC65" w14:textId="77777777" w:rsidR="00BE3BCA" w:rsidRPr="00D60EED" w:rsidRDefault="00BE3BCA" w:rsidP="006433AD">
            <w:pPr>
              <w:spacing w:before="120" w:after="31"/>
              <w:jc w:val="center"/>
              <w:rPr>
                <w:rFonts w:ascii="Gill Sans MT" w:hAnsi="Gill Sans MT" w:cs="Arial"/>
                <w:sz w:val="20"/>
                <w:szCs w:val="20"/>
              </w:rPr>
            </w:pPr>
            <w:r w:rsidRPr="00D60EED">
              <w:rPr>
                <w:rFonts w:ascii="Gill Sans MT" w:hAnsi="Gill Sans MT" w:cs="Arial"/>
                <w:sz w:val="20"/>
                <w:szCs w:val="20"/>
              </w:rPr>
              <w:t>Michigan District</w:t>
            </w:r>
          </w:p>
        </w:tc>
      </w:tr>
      <w:tr w:rsidR="00BE3BCA" w:rsidRPr="00BA35B7" w14:paraId="21C00E5B" w14:textId="77777777" w:rsidTr="002B482F">
        <w:trPr>
          <w:cantSplit/>
          <w:jc w:val="center"/>
        </w:trPr>
        <w:tc>
          <w:tcPr>
            <w:tcW w:w="1457" w:type="dxa"/>
            <w:gridSpan w:val="2"/>
            <w:tcBorders>
              <w:right w:val="nil"/>
            </w:tcBorders>
          </w:tcPr>
          <w:p w14:paraId="1BFA114A" w14:textId="77777777" w:rsidR="00BE3BCA" w:rsidRPr="00D60EED" w:rsidRDefault="00BE3BCA" w:rsidP="002B482F">
            <w:pPr>
              <w:spacing w:before="31" w:after="31"/>
              <w:jc w:val="center"/>
              <w:rPr>
                <w:rFonts w:ascii="Gill Sans MT" w:hAnsi="Gill Sans MT" w:cs="Arial"/>
                <w:sz w:val="20"/>
                <w:szCs w:val="20"/>
              </w:rPr>
            </w:pPr>
            <w:r w:rsidRPr="00D60EED">
              <w:rPr>
                <w:rFonts w:ascii="Gill Sans MT" w:hAnsi="Gill Sans MT" w:cs="Arial"/>
                <w:sz w:val="20"/>
                <w:szCs w:val="20"/>
              </w:rPr>
              <w:t>iLit</w:t>
            </w:r>
          </w:p>
          <w:p w14:paraId="6375FCE7" w14:textId="77777777" w:rsidR="00BE3BCA" w:rsidRPr="00D60EED" w:rsidRDefault="00BE3BCA" w:rsidP="002B482F">
            <w:pPr>
              <w:spacing w:before="31" w:after="31"/>
              <w:jc w:val="center"/>
              <w:rPr>
                <w:rFonts w:ascii="Gill Sans MT" w:hAnsi="Gill Sans MT" w:cs="Arial"/>
                <w:sz w:val="20"/>
                <w:szCs w:val="20"/>
              </w:rPr>
            </w:pPr>
            <w:r w:rsidRPr="00D60EED">
              <w:rPr>
                <w:rFonts w:ascii="Gill Sans MT" w:hAnsi="Gill Sans MT" w:cs="Arial"/>
                <w:sz w:val="20"/>
                <w:szCs w:val="20"/>
              </w:rPr>
              <w:t>Comparison</w:t>
            </w:r>
          </w:p>
        </w:tc>
        <w:tc>
          <w:tcPr>
            <w:tcW w:w="1262" w:type="dxa"/>
            <w:tcBorders>
              <w:left w:val="nil"/>
              <w:right w:val="nil"/>
            </w:tcBorders>
          </w:tcPr>
          <w:p w14:paraId="40741A29" w14:textId="77777777" w:rsidR="00BE3BCA" w:rsidRPr="00D60EED" w:rsidRDefault="00576F5B" w:rsidP="002B482F">
            <w:pPr>
              <w:spacing w:before="31" w:after="31"/>
              <w:jc w:val="center"/>
              <w:rPr>
                <w:rFonts w:ascii="Gill Sans MT" w:hAnsi="Gill Sans MT" w:cs="Arial"/>
                <w:sz w:val="20"/>
                <w:szCs w:val="20"/>
              </w:rPr>
            </w:pPr>
            <w:r>
              <w:rPr>
                <w:rFonts w:ascii="Gill Sans MT" w:hAnsi="Gill Sans MT" w:cs="Arial"/>
                <w:sz w:val="20"/>
                <w:szCs w:val="20"/>
              </w:rPr>
              <w:t>1</w:t>
            </w:r>
          </w:p>
          <w:p w14:paraId="411C747B" w14:textId="77777777" w:rsidR="00BE3BCA" w:rsidRPr="00D60EED" w:rsidRDefault="00576F5B" w:rsidP="002B482F">
            <w:pPr>
              <w:spacing w:before="31" w:after="31"/>
              <w:jc w:val="center"/>
              <w:rPr>
                <w:rFonts w:ascii="Gill Sans MT" w:hAnsi="Gill Sans MT" w:cs="Arial"/>
                <w:sz w:val="20"/>
                <w:szCs w:val="20"/>
              </w:rPr>
            </w:pPr>
            <w:r>
              <w:rPr>
                <w:rFonts w:ascii="Gill Sans MT" w:hAnsi="Gill Sans MT" w:cs="Arial"/>
                <w:sz w:val="20"/>
                <w:szCs w:val="20"/>
              </w:rPr>
              <w:t>2</w:t>
            </w:r>
          </w:p>
        </w:tc>
        <w:tc>
          <w:tcPr>
            <w:tcW w:w="2430" w:type="dxa"/>
            <w:tcBorders>
              <w:left w:val="nil"/>
              <w:right w:val="nil"/>
            </w:tcBorders>
          </w:tcPr>
          <w:p w14:paraId="7BAD6780" w14:textId="77777777" w:rsidR="00BE3BCA" w:rsidRPr="00D60EED" w:rsidRDefault="00BE3BCA" w:rsidP="002B482F">
            <w:pPr>
              <w:spacing w:before="31" w:after="31"/>
              <w:jc w:val="center"/>
              <w:rPr>
                <w:rFonts w:ascii="Gill Sans MT" w:hAnsi="Gill Sans MT" w:cs="Arial"/>
                <w:sz w:val="20"/>
                <w:szCs w:val="20"/>
              </w:rPr>
            </w:pPr>
            <w:r w:rsidRPr="00D60EED">
              <w:rPr>
                <w:rFonts w:ascii="Gill Sans MT" w:hAnsi="Gill Sans MT" w:cs="Arial"/>
                <w:sz w:val="20"/>
                <w:szCs w:val="20"/>
              </w:rPr>
              <w:t>iLit teacher</w:t>
            </w:r>
            <w:r>
              <w:rPr>
                <w:rFonts w:ascii="Gill Sans MT" w:hAnsi="Gill Sans MT" w:cs="Arial"/>
                <w:sz w:val="20"/>
                <w:szCs w:val="20"/>
              </w:rPr>
              <w:t xml:space="preserve"> is also </w:t>
            </w:r>
            <w:r w:rsidRPr="00D60EED">
              <w:rPr>
                <w:rFonts w:ascii="Gill Sans MT" w:hAnsi="Gill Sans MT" w:cs="Arial"/>
                <w:sz w:val="20"/>
                <w:szCs w:val="20"/>
              </w:rPr>
              <w:t xml:space="preserve">one of two CP teachers </w:t>
            </w:r>
          </w:p>
        </w:tc>
        <w:tc>
          <w:tcPr>
            <w:tcW w:w="1530" w:type="dxa"/>
            <w:tcBorders>
              <w:left w:val="nil"/>
              <w:right w:val="nil"/>
            </w:tcBorders>
          </w:tcPr>
          <w:p w14:paraId="46688B04" w14:textId="77777777" w:rsidR="00BE3BCA" w:rsidRPr="00D60EED" w:rsidRDefault="00BE3BCA" w:rsidP="002B482F">
            <w:pPr>
              <w:spacing w:before="31" w:after="31"/>
              <w:jc w:val="center"/>
              <w:rPr>
                <w:rFonts w:ascii="Gill Sans MT" w:hAnsi="Gill Sans MT" w:cs="Arial"/>
                <w:sz w:val="20"/>
                <w:szCs w:val="20"/>
              </w:rPr>
            </w:pPr>
            <w:r w:rsidRPr="00D60EED">
              <w:rPr>
                <w:rFonts w:ascii="Gill Sans MT" w:hAnsi="Gill Sans MT" w:cs="Arial"/>
                <w:sz w:val="20"/>
                <w:szCs w:val="20"/>
              </w:rPr>
              <w:t>No</w:t>
            </w:r>
          </w:p>
          <w:p w14:paraId="33A9F97D" w14:textId="77777777" w:rsidR="00BE3BCA" w:rsidRPr="00D60EED" w:rsidRDefault="00BE3BCA" w:rsidP="002B482F">
            <w:pPr>
              <w:spacing w:before="31" w:after="31"/>
              <w:jc w:val="center"/>
              <w:rPr>
                <w:rFonts w:ascii="Gill Sans MT" w:hAnsi="Gill Sans MT" w:cs="Arial"/>
                <w:sz w:val="20"/>
                <w:szCs w:val="20"/>
              </w:rPr>
            </w:pPr>
            <w:r>
              <w:rPr>
                <w:rFonts w:ascii="Gill Sans MT" w:hAnsi="Gill Sans MT" w:cs="Arial"/>
                <w:sz w:val="20"/>
                <w:szCs w:val="20"/>
              </w:rPr>
              <w:t>Yes</w:t>
            </w:r>
          </w:p>
        </w:tc>
        <w:tc>
          <w:tcPr>
            <w:tcW w:w="3330" w:type="dxa"/>
            <w:tcBorders>
              <w:left w:val="nil"/>
              <w:right w:val="nil"/>
            </w:tcBorders>
          </w:tcPr>
          <w:p w14:paraId="1AD4EC81" w14:textId="77777777" w:rsidR="00BE3BCA" w:rsidRPr="00D60EED" w:rsidRDefault="00BE3BCA" w:rsidP="002B482F">
            <w:pPr>
              <w:spacing w:before="31" w:after="31"/>
              <w:jc w:val="center"/>
              <w:rPr>
                <w:rFonts w:ascii="Gill Sans MT" w:hAnsi="Gill Sans MT" w:cs="Arial"/>
                <w:sz w:val="20"/>
                <w:szCs w:val="20"/>
              </w:rPr>
            </w:pPr>
            <w:r w:rsidRPr="00D60EED">
              <w:rPr>
                <w:rFonts w:ascii="Gill Sans MT" w:hAnsi="Gill Sans MT" w:cs="Arial"/>
                <w:sz w:val="20"/>
                <w:szCs w:val="20"/>
              </w:rPr>
              <w:t>CP classrooms are 75% and 40% study students</w:t>
            </w:r>
          </w:p>
        </w:tc>
        <w:tc>
          <w:tcPr>
            <w:tcW w:w="1094" w:type="dxa"/>
            <w:tcBorders>
              <w:left w:val="nil"/>
            </w:tcBorders>
          </w:tcPr>
          <w:p w14:paraId="7581DE43" w14:textId="77777777" w:rsidR="00BE3BCA" w:rsidRPr="00D60EED" w:rsidRDefault="00BE3BCA" w:rsidP="002B482F">
            <w:pPr>
              <w:spacing w:before="31" w:after="31"/>
              <w:jc w:val="center"/>
              <w:rPr>
                <w:rFonts w:ascii="Gill Sans MT" w:hAnsi="Gill Sans MT" w:cs="Arial"/>
                <w:sz w:val="20"/>
                <w:szCs w:val="20"/>
              </w:rPr>
            </w:pPr>
            <w:r w:rsidRPr="00D60EED">
              <w:rPr>
                <w:rFonts w:ascii="Gill Sans MT" w:hAnsi="Gill Sans MT" w:cs="Arial"/>
                <w:sz w:val="20"/>
                <w:szCs w:val="20"/>
              </w:rPr>
              <w:t>60</w:t>
            </w:r>
          </w:p>
          <w:p w14:paraId="1238A289" w14:textId="77777777" w:rsidR="00BE3BCA" w:rsidRPr="00D60EED" w:rsidRDefault="00BE3BCA" w:rsidP="002B482F">
            <w:pPr>
              <w:spacing w:before="31" w:after="31"/>
              <w:jc w:val="center"/>
              <w:rPr>
                <w:rFonts w:ascii="Gill Sans MT" w:hAnsi="Gill Sans MT" w:cs="Arial"/>
                <w:sz w:val="20"/>
                <w:szCs w:val="20"/>
              </w:rPr>
            </w:pPr>
            <w:r w:rsidRPr="00D60EED">
              <w:rPr>
                <w:rFonts w:ascii="Gill Sans MT" w:hAnsi="Gill Sans MT" w:cs="Arial"/>
                <w:sz w:val="20"/>
                <w:szCs w:val="20"/>
              </w:rPr>
              <w:t>60</w:t>
            </w:r>
          </w:p>
        </w:tc>
      </w:tr>
      <w:tr w:rsidR="00BE3BCA" w:rsidRPr="00BA35B7" w14:paraId="1907B066" w14:textId="77777777" w:rsidTr="002B482F">
        <w:trPr>
          <w:cantSplit/>
          <w:jc w:val="center"/>
        </w:trPr>
        <w:tc>
          <w:tcPr>
            <w:tcW w:w="11103" w:type="dxa"/>
            <w:gridSpan w:val="7"/>
          </w:tcPr>
          <w:p w14:paraId="5FF36F74" w14:textId="77777777" w:rsidR="00BE3BCA" w:rsidRPr="00D60EED" w:rsidRDefault="00BE3BCA" w:rsidP="006433AD">
            <w:pPr>
              <w:spacing w:before="120" w:after="31"/>
              <w:jc w:val="center"/>
              <w:rPr>
                <w:rFonts w:ascii="Gill Sans MT" w:hAnsi="Gill Sans MT" w:cs="Arial"/>
                <w:sz w:val="20"/>
                <w:szCs w:val="20"/>
              </w:rPr>
            </w:pPr>
            <w:r w:rsidRPr="00D60EED">
              <w:rPr>
                <w:rFonts w:ascii="Gill Sans MT" w:hAnsi="Gill Sans MT" w:cs="Arial"/>
                <w:sz w:val="20"/>
                <w:szCs w:val="20"/>
              </w:rPr>
              <w:t>New Jersey District</w:t>
            </w:r>
          </w:p>
        </w:tc>
      </w:tr>
      <w:tr w:rsidR="00BE3BCA" w:rsidRPr="00BA35B7" w14:paraId="71613A88" w14:textId="77777777" w:rsidTr="002B482F">
        <w:trPr>
          <w:cantSplit/>
          <w:jc w:val="center"/>
        </w:trPr>
        <w:tc>
          <w:tcPr>
            <w:tcW w:w="1457" w:type="dxa"/>
            <w:gridSpan w:val="2"/>
            <w:tcBorders>
              <w:right w:val="nil"/>
            </w:tcBorders>
          </w:tcPr>
          <w:p w14:paraId="57070B2D" w14:textId="77777777" w:rsidR="00BE3BCA" w:rsidRPr="00D60EED" w:rsidRDefault="00BE3BCA" w:rsidP="002B482F">
            <w:pPr>
              <w:spacing w:before="31" w:after="31"/>
              <w:jc w:val="center"/>
              <w:rPr>
                <w:rFonts w:ascii="Gill Sans MT" w:hAnsi="Gill Sans MT" w:cs="Arial"/>
                <w:sz w:val="20"/>
                <w:szCs w:val="20"/>
              </w:rPr>
            </w:pPr>
            <w:r w:rsidRPr="00D60EED">
              <w:rPr>
                <w:rFonts w:ascii="Gill Sans MT" w:hAnsi="Gill Sans MT" w:cs="Arial"/>
                <w:sz w:val="20"/>
                <w:szCs w:val="20"/>
              </w:rPr>
              <w:t>iLit</w:t>
            </w:r>
          </w:p>
          <w:p w14:paraId="44449A2F" w14:textId="77777777" w:rsidR="00BE3BCA" w:rsidRPr="00D60EED" w:rsidRDefault="00BE3BCA" w:rsidP="002B482F">
            <w:pPr>
              <w:spacing w:before="31" w:after="31"/>
              <w:jc w:val="center"/>
              <w:rPr>
                <w:rFonts w:ascii="Gill Sans MT" w:hAnsi="Gill Sans MT" w:cs="Arial"/>
                <w:sz w:val="20"/>
                <w:szCs w:val="20"/>
              </w:rPr>
            </w:pPr>
            <w:r w:rsidRPr="00D60EED">
              <w:rPr>
                <w:rFonts w:ascii="Gill Sans MT" w:hAnsi="Gill Sans MT" w:cs="Arial"/>
                <w:sz w:val="20"/>
                <w:szCs w:val="20"/>
              </w:rPr>
              <w:t>Comparison</w:t>
            </w:r>
          </w:p>
        </w:tc>
        <w:tc>
          <w:tcPr>
            <w:tcW w:w="1262" w:type="dxa"/>
            <w:tcBorders>
              <w:left w:val="nil"/>
              <w:right w:val="nil"/>
            </w:tcBorders>
          </w:tcPr>
          <w:p w14:paraId="16DBD8F0" w14:textId="77777777" w:rsidR="00BE3BCA" w:rsidRPr="00D60EED" w:rsidRDefault="00576F5B" w:rsidP="002B482F">
            <w:pPr>
              <w:spacing w:before="31" w:after="31"/>
              <w:jc w:val="center"/>
              <w:rPr>
                <w:rFonts w:ascii="Gill Sans MT" w:hAnsi="Gill Sans MT" w:cs="Arial"/>
                <w:sz w:val="20"/>
                <w:szCs w:val="20"/>
              </w:rPr>
            </w:pPr>
            <w:r>
              <w:rPr>
                <w:rFonts w:ascii="Gill Sans MT" w:hAnsi="Gill Sans MT" w:cs="Arial"/>
                <w:sz w:val="20"/>
                <w:szCs w:val="20"/>
              </w:rPr>
              <w:t>1</w:t>
            </w:r>
          </w:p>
          <w:p w14:paraId="0B1E3D31" w14:textId="77777777" w:rsidR="00BE3BCA" w:rsidRPr="00D60EED" w:rsidRDefault="00576F5B" w:rsidP="002B482F">
            <w:pPr>
              <w:spacing w:before="31" w:after="31"/>
              <w:jc w:val="center"/>
              <w:rPr>
                <w:rFonts w:ascii="Gill Sans MT" w:hAnsi="Gill Sans MT" w:cs="Arial"/>
                <w:sz w:val="20"/>
                <w:szCs w:val="20"/>
              </w:rPr>
            </w:pPr>
            <w:r>
              <w:rPr>
                <w:rFonts w:ascii="Gill Sans MT" w:hAnsi="Gill Sans MT" w:cs="Arial"/>
                <w:sz w:val="20"/>
                <w:szCs w:val="20"/>
              </w:rPr>
              <w:t>2</w:t>
            </w:r>
            <w:r w:rsidR="00BE3BCA" w:rsidRPr="00D60EED">
              <w:rPr>
                <w:rFonts w:ascii="Gill Sans MT" w:hAnsi="Gill Sans MT" w:cs="Arial"/>
                <w:sz w:val="20"/>
                <w:szCs w:val="20"/>
              </w:rPr>
              <w:t xml:space="preserve">  </w:t>
            </w:r>
          </w:p>
        </w:tc>
        <w:tc>
          <w:tcPr>
            <w:tcW w:w="2430" w:type="dxa"/>
            <w:tcBorders>
              <w:left w:val="nil"/>
              <w:right w:val="nil"/>
            </w:tcBorders>
          </w:tcPr>
          <w:p w14:paraId="221E37A7" w14:textId="77777777" w:rsidR="00BE3BCA" w:rsidRPr="00D60EED" w:rsidRDefault="00BE3BCA" w:rsidP="002B482F">
            <w:pPr>
              <w:spacing w:before="124" w:after="31"/>
              <w:jc w:val="center"/>
              <w:rPr>
                <w:rFonts w:ascii="Gill Sans MT" w:hAnsi="Gill Sans MT" w:cs="Arial"/>
                <w:sz w:val="20"/>
                <w:szCs w:val="20"/>
              </w:rPr>
            </w:pPr>
            <w:r w:rsidRPr="00D60EED">
              <w:rPr>
                <w:rFonts w:ascii="Gill Sans MT" w:hAnsi="Gill Sans MT" w:cs="Arial"/>
                <w:sz w:val="20"/>
                <w:szCs w:val="20"/>
              </w:rPr>
              <w:t>3 different teachers</w:t>
            </w:r>
          </w:p>
        </w:tc>
        <w:tc>
          <w:tcPr>
            <w:tcW w:w="1530" w:type="dxa"/>
            <w:tcBorders>
              <w:left w:val="nil"/>
              <w:right w:val="nil"/>
            </w:tcBorders>
          </w:tcPr>
          <w:p w14:paraId="7C49B3A4" w14:textId="77777777" w:rsidR="00BE3BCA" w:rsidRPr="00D60EED" w:rsidRDefault="00BE3BCA" w:rsidP="002B482F">
            <w:pPr>
              <w:spacing w:before="31" w:after="31"/>
              <w:jc w:val="center"/>
              <w:rPr>
                <w:rFonts w:ascii="Gill Sans MT" w:hAnsi="Gill Sans MT" w:cs="Arial"/>
                <w:sz w:val="20"/>
                <w:szCs w:val="20"/>
              </w:rPr>
            </w:pPr>
            <w:r w:rsidRPr="00D60EED">
              <w:rPr>
                <w:rFonts w:ascii="Gill Sans MT" w:hAnsi="Gill Sans MT" w:cs="Arial"/>
                <w:sz w:val="20"/>
                <w:szCs w:val="20"/>
              </w:rPr>
              <w:t>No</w:t>
            </w:r>
          </w:p>
          <w:p w14:paraId="327DA0B3" w14:textId="77777777" w:rsidR="00BE3BCA" w:rsidRPr="00D60EED" w:rsidRDefault="00BE3BCA" w:rsidP="002B482F">
            <w:pPr>
              <w:spacing w:before="31" w:after="31"/>
              <w:jc w:val="center"/>
              <w:rPr>
                <w:rFonts w:ascii="Gill Sans MT" w:hAnsi="Gill Sans MT" w:cs="Arial"/>
                <w:sz w:val="20"/>
                <w:szCs w:val="20"/>
              </w:rPr>
            </w:pPr>
            <w:r w:rsidRPr="00D60EED">
              <w:rPr>
                <w:rFonts w:ascii="Gill Sans MT" w:hAnsi="Gill Sans MT" w:cs="Arial"/>
                <w:sz w:val="20"/>
                <w:szCs w:val="20"/>
              </w:rPr>
              <w:t>Yes</w:t>
            </w:r>
          </w:p>
        </w:tc>
        <w:tc>
          <w:tcPr>
            <w:tcW w:w="3330" w:type="dxa"/>
            <w:tcBorders>
              <w:left w:val="nil"/>
              <w:right w:val="nil"/>
            </w:tcBorders>
          </w:tcPr>
          <w:p w14:paraId="188AD244" w14:textId="77777777" w:rsidR="00BE3BCA" w:rsidRPr="00D60EED" w:rsidRDefault="00BE3BCA" w:rsidP="002B482F">
            <w:pPr>
              <w:spacing w:before="120" w:after="31"/>
              <w:jc w:val="center"/>
              <w:rPr>
                <w:rFonts w:ascii="Gill Sans MT" w:hAnsi="Gill Sans MT" w:cs="Arial"/>
                <w:sz w:val="20"/>
                <w:szCs w:val="20"/>
              </w:rPr>
            </w:pPr>
            <w:r w:rsidRPr="00D60EED">
              <w:rPr>
                <w:rFonts w:ascii="Gill Sans MT" w:hAnsi="Gill Sans MT" w:cs="Arial"/>
                <w:sz w:val="20"/>
                <w:szCs w:val="20"/>
              </w:rPr>
              <w:t>CP students are mixed into 6 periods</w:t>
            </w:r>
          </w:p>
        </w:tc>
        <w:tc>
          <w:tcPr>
            <w:tcW w:w="1094" w:type="dxa"/>
            <w:tcBorders>
              <w:left w:val="nil"/>
            </w:tcBorders>
          </w:tcPr>
          <w:p w14:paraId="20B12903" w14:textId="77777777" w:rsidR="00BE3BCA" w:rsidRPr="00D60EED" w:rsidRDefault="00BE3BCA" w:rsidP="002B482F">
            <w:pPr>
              <w:spacing w:before="31" w:after="31"/>
              <w:jc w:val="center"/>
              <w:rPr>
                <w:rFonts w:ascii="Gill Sans MT" w:hAnsi="Gill Sans MT" w:cs="Arial"/>
                <w:sz w:val="20"/>
                <w:szCs w:val="20"/>
              </w:rPr>
            </w:pPr>
            <w:r w:rsidRPr="00D60EED">
              <w:rPr>
                <w:rFonts w:ascii="Gill Sans MT" w:hAnsi="Gill Sans MT" w:cs="Arial"/>
                <w:sz w:val="20"/>
                <w:szCs w:val="20"/>
              </w:rPr>
              <w:t>120</w:t>
            </w:r>
          </w:p>
          <w:p w14:paraId="477F154E" w14:textId="77777777" w:rsidR="00BE3BCA" w:rsidRPr="00D60EED" w:rsidRDefault="00BE3BCA" w:rsidP="002B482F">
            <w:pPr>
              <w:tabs>
                <w:tab w:val="left" w:pos="166"/>
                <w:tab w:val="left" w:pos="195"/>
                <w:tab w:val="center" w:pos="271"/>
                <w:tab w:val="center" w:pos="339"/>
              </w:tabs>
              <w:spacing w:before="31" w:after="31"/>
              <w:jc w:val="center"/>
              <w:rPr>
                <w:rFonts w:ascii="Gill Sans MT" w:hAnsi="Gill Sans MT" w:cs="Arial"/>
                <w:sz w:val="20"/>
                <w:szCs w:val="20"/>
              </w:rPr>
            </w:pPr>
            <w:r w:rsidRPr="00D60EED">
              <w:rPr>
                <w:rFonts w:ascii="Gill Sans MT" w:hAnsi="Gill Sans MT" w:cs="Arial"/>
                <w:sz w:val="20"/>
                <w:szCs w:val="20"/>
              </w:rPr>
              <w:t>58</w:t>
            </w:r>
          </w:p>
        </w:tc>
      </w:tr>
      <w:tr w:rsidR="00BE3BCA" w:rsidRPr="00BA35B7" w14:paraId="7DF577DD" w14:textId="77777777" w:rsidTr="002B482F">
        <w:trPr>
          <w:cantSplit/>
          <w:jc w:val="center"/>
        </w:trPr>
        <w:tc>
          <w:tcPr>
            <w:tcW w:w="11103" w:type="dxa"/>
            <w:gridSpan w:val="7"/>
          </w:tcPr>
          <w:p w14:paraId="3A0F7482" w14:textId="77777777" w:rsidR="00BE3BCA" w:rsidRPr="00F0753F" w:rsidRDefault="00BE3BCA" w:rsidP="006433AD">
            <w:pPr>
              <w:spacing w:before="120" w:after="31"/>
              <w:jc w:val="center"/>
              <w:rPr>
                <w:rFonts w:ascii="Gill Sans MT" w:hAnsi="Gill Sans MT" w:cs="Arial"/>
                <w:sz w:val="20"/>
                <w:szCs w:val="20"/>
              </w:rPr>
            </w:pPr>
            <w:r w:rsidRPr="00F0753F">
              <w:rPr>
                <w:rFonts w:ascii="Gill Sans MT" w:hAnsi="Gill Sans MT" w:cs="Arial"/>
                <w:sz w:val="20"/>
                <w:szCs w:val="20"/>
              </w:rPr>
              <w:t>New York District</w:t>
            </w:r>
          </w:p>
        </w:tc>
      </w:tr>
      <w:tr w:rsidR="00BE3BCA" w:rsidRPr="00BA35B7" w14:paraId="33D276A3" w14:textId="77777777" w:rsidTr="002B482F">
        <w:trPr>
          <w:cantSplit/>
          <w:jc w:val="center"/>
        </w:trPr>
        <w:tc>
          <w:tcPr>
            <w:tcW w:w="1457" w:type="dxa"/>
            <w:gridSpan w:val="2"/>
            <w:tcBorders>
              <w:right w:val="nil"/>
            </w:tcBorders>
          </w:tcPr>
          <w:p w14:paraId="4D0454EB" w14:textId="77777777" w:rsidR="00BE3BCA" w:rsidRPr="00F0753F" w:rsidRDefault="00BE3BCA" w:rsidP="002B482F">
            <w:pPr>
              <w:spacing w:before="31" w:after="31"/>
              <w:jc w:val="center"/>
              <w:rPr>
                <w:rFonts w:ascii="Gill Sans MT" w:hAnsi="Gill Sans MT" w:cs="Arial"/>
                <w:sz w:val="20"/>
                <w:szCs w:val="20"/>
              </w:rPr>
            </w:pPr>
            <w:r w:rsidRPr="00F0753F">
              <w:rPr>
                <w:rFonts w:ascii="Gill Sans MT" w:hAnsi="Gill Sans MT" w:cs="Arial"/>
                <w:sz w:val="20"/>
                <w:szCs w:val="20"/>
              </w:rPr>
              <w:t>iLit</w:t>
            </w:r>
          </w:p>
          <w:p w14:paraId="3A3A8A1F" w14:textId="77777777" w:rsidR="00BE3BCA" w:rsidRPr="00F0753F" w:rsidRDefault="00BE3BCA" w:rsidP="002B482F">
            <w:pPr>
              <w:spacing w:before="31" w:after="31"/>
              <w:jc w:val="center"/>
              <w:rPr>
                <w:rFonts w:ascii="Gill Sans MT" w:hAnsi="Gill Sans MT" w:cs="Arial"/>
                <w:sz w:val="20"/>
                <w:szCs w:val="20"/>
              </w:rPr>
            </w:pPr>
            <w:r w:rsidRPr="00F0753F">
              <w:rPr>
                <w:rFonts w:ascii="Gill Sans MT" w:hAnsi="Gill Sans MT" w:cs="Arial"/>
                <w:sz w:val="20"/>
                <w:szCs w:val="20"/>
              </w:rPr>
              <w:t>Comparison</w:t>
            </w:r>
          </w:p>
        </w:tc>
        <w:tc>
          <w:tcPr>
            <w:tcW w:w="1262" w:type="dxa"/>
            <w:tcBorders>
              <w:left w:val="nil"/>
              <w:right w:val="nil"/>
            </w:tcBorders>
          </w:tcPr>
          <w:p w14:paraId="72D19D6D" w14:textId="77777777" w:rsidR="00BE3BCA" w:rsidRPr="00F0753F" w:rsidRDefault="00576F5B" w:rsidP="00576F5B">
            <w:pPr>
              <w:spacing w:before="120" w:after="31"/>
              <w:jc w:val="center"/>
              <w:rPr>
                <w:rFonts w:ascii="Gill Sans MT" w:hAnsi="Gill Sans MT" w:cs="Arial"/>
                <w:sz w:val="20"/>
                <w:szCs w:val="20"/>
              </w:rPr>
            </w:pPr>
            <w:r>
              <w:rPr>
                <w:rFonts w:ascii="Gill Sans MT" w:hAnsi="Gill Sans MT" w:cs="Arial"/>
                <w:sz w:val="20"/>
                <w:szCs w:val="20"/>
              </w:rPr>
              <w:t>2</w:t>
            </w:r>
          </w:p>
          <w:p w14:paraId="6E915A74" w14:textId="77777777" w:rsidR="00BE3BCA" w:rsidRPr="00F0753F" w:rsidRDefault="00576F5B" w:rsidP="002B482F">
            <w:pPr>
              <w:spacing w:before="31" w:after="31"/>
              <w:jc w:val="center"/>
              <w:rPr>
                <w:rFonts w:ascii="Gill Sans MT" w:hAnsi="Gill Sans MT" w:cs="Arial"/>
                <w:sz w:val="20"/>
                <w:szCs w:val="20"/>
              </w:rPr>
            </w:pPr>
            <w:r>
              <w:rPr>
                <w:rFonts w:ascii="Gill Sans MT" w:hAnsi="Gill Sans MT" w:cs="Arial"/>
                <w:sz w:val="20"/>
                <w:szCs w:val="20"/>
              </w:rPr>
              <w:t>3</w:t>
            </w:r>
          </w:p>
        </w:tc>
        <w:tc>
          <w:tcPr>
            <w:tcW w:w="2430" w:type="dxa"/>
            <w:tcBorders>
              <w:left w:val="nil"/>
              <w:right w:val="nil"/>
            </w:tcBorders>
          </w:tcPr>
          <w:p w14:paraId="5947F7B8" w14:textId="77777777" w:rsidR="00BE3BCA" w:rsidRPr="00F0753F" w:rsidRDefault="00BE3BCA" w:rsidP="00573425">
            <w:pPr>
              <w:spacing w:before="120" w:after="31"/>
              <w:jc w:val="center"/>
              <w:rPr>
                <w:rFonts w:ascii="Gill Sans MT" w:hAnsi="Gill Sans MT" w:cs="Arial"/>
                <w:sz w:val="20"/>
                <w:szCs w:val="20"/>
              </w:rPr>
            </w:pPr>
            <w:r w:rsidRPr="00F0753F">
              <w:rPr>
                <w:rFonts w:ascii="Gill Sans MT" w:hAnsi="Gill Sans MT" w:cs="Arial"/>
                <w:sz w:val="20"/>
                <w:szCs w:val="20"/>
              </w:rPr>
              <w:t>1 teacher CP only, 2 teachers both iLit and CP</w:t>
            </w:r>
          </w:p>
        </w:tc>
        <w:tc>
          <w:tcPr>
            <w:tcW w:w="1530" w:type="dxa"/>
            <w:tcBorders>
              <w:left w:val="nil"/>
              <w:right w:val="nil"/>
            </w:tcBorders>
          </w:tcPr>
          <w:p w14:paraId="38F7371E" w14:textId="77777777" w:rsidR="00BE3BCA" w:rsidRPr="00F0753F" w:rsidRDefault="00BE3BCA" w:rsidP="005F1363">
            <w:pPr>
              <w:spacing w:before="120" w:after="31"/>
              <w:jc w:val="center"/>
              <w:rPr>
                <w:rFonts w:ascii="Gill Sans MT" w:hAnsi="Gill Sans MT" w:cs="Arial"/>
                <w:sz w:val="20"/>
                <w:szCs w:val="20"/>
              </w:rPr>
            </w:pPr>
            <w:r w:rsidRPr="00F0753F">
              <w:rPr>
                <w:rFonts w:ascii="Gill Sans MT" w:hAnsi="Gill Sans MT" w:cs="Arial"/>
                <w:sz w:val="20"/>
                <w:szCs w:val="20"/>
              </w:rPr>
              <w:t>Yes</w:t>
            </w:r>
          </w:p>
          <w:p w14:paraId="7F0A5B9A" w14:textId="77777777" w:rsidR="00BE3BCA" w:rsidRPr="00F0753F" w:rsidRDefault="00BE3BCA" w:rsidP="002B482F">
            <w:pPr>
              <w:spacing w:before="31" w:after="31"/>
              <w:jc w:val="center"/>
              <w:rPr>
                <w:rFonts w:ascii="Gill Sans MT" w:hAnsi="Gill Sans MT" w:cs="Arial"/>
                <w:sz w:val="20"/>
                <w:szCs w:val="20"/>
              </w:rPr>
            </w:pPr>
            <w:r w:rsidRPr="00F0753F">
              <w:rPr>
                <w:rFonts w:ascii="Gill Sans MT" w:hAnsi="Gill Sans MT" w:cs="Arial"/>
                <w:sz w:val="20"/>
                <w:szCs w:val="20"/>
              </w:rPr>
              <w:t>Yes</w:t>
            </w:r>
          </w:p>
        </w:tc>
        <w:tc>
          <w:tcPr>
            <w:tcW w:w="3330" w:type="dxa"/>
            <w:tcBorders>
              <w:left w:val="nil"/>
              <w:right w:val="nil"/>
            </w:tcBorders>
          </w:tcPr>
          <w:p w14:paraId="4B691DC1" w14:textId="77777777" w:rsidR="00BE3BCA" w:rsidRPr="00F0753F" w:rsidRDefault="00BE3BCA" w:rsidP="002B482F">
            <w:pPr>
              <w:spacing w:before="31" w:after="31"/>
              <w:jc w:val="center"/>
              <w:rPr>
                <w:rFonts w:ascii="Gill Sans MT" w:hAnsi="Gill Sans MT" w:cs="Arial"/>
                <w:sz w:val="20"/>
                <w:szCs w:val="20"/>
              </w:rPr>
            </w:pPr>
            <w:r w:rsidRPr="00F0753F">
              <w:rPr>
                <w:rFonts w:ascii="Gill Sans MT" w:hAnsi="Gill Sans MT" w:cs="Arial"/>
                <w:sz w:val="20"/>
                <w:szCs w:val="20"/>
              </w:rPr>
              <w:t>One mixed iLit class 82% study students. Mixed CP classrooms 59%, 68% and 79% study students.</w:t>
            </w:r>
          </w:p>
        </w:tc>
        <w:tc>
          <w:tcPr>
            <w:tcW w:w="1094" w:type="dxa"/>
            <w:tcBorders>
              <w:left w:val="nil"/>
            </w:tcBorders>
          </w:tcPr>
          <w:p w14:paraId="1AA743DE" w14:textId="77777777" w:rsidR="00BE3BCA" w:rsidRPr="00F0753F" w:rsidRDefault="00BE3BCA" w:rsidP="005F1363">
            <w:pPr>
              <w:spacing w:before="120" w:after="31"/>
              <w:jc w:val="center"/>
              <w:rPr>
                <w:rFonts w:ascii="Gill Sans MT" w:hAnsi="Gill Sans MT" w:cs="Arial"/>
                <w:sz w:val="20"/>
                <w:szCs w:val="20"/>
              </w:rPr>
            </w:pPr>
            <w:r w:rsidRPr="00F0753F">
              <w:rPr>
                <w:rFonts w:ascii="Gill Sans MT" w:hAnsi="Gill Sans MT" w:cs="Arial"/>
                <w:sz w:val="20"/>
                <w:szCs w:val="20"/>
              </w:rPr>
              <w:t>90</w:t>
            </w:r>
          </w:p>
          <w:p w14:paraId="1DE34B75" w14:textId="77777777" w:rsidR="00BE3BCA" w:rsidRPr="00F0753F" w:rsidRDefault="00BE3BCA" w:rsidP="002B482F">
            <w:pPr>
              <w:spacing w:before="31" w:after="31"/>
              <w:jc w:val="center"/>
              <w:rPr>
                <w:rFonts w:ascii="Gill Sans MT" w:hAnsi="Gill Sans MT" w:cs="Arial"/>
                <w:sz w:val="20"/>
                <w:szCs w:val="20"/>
              </w:rPr>
            </w:pPr>
            <w:r w:rsidRPr="00F0753F">
              <w:rPr>
                <w:rFonts w:ascii="Gill Sans MT" w:hAnsi="Gill Sans MT" w:cs="Arial"/>
                <w:sz w:val="20"/>
                <w:szCs w:val="20"/>
              </w:rPr>
              <w:t>45</w:t>
            </w:r>
          </w:p>
        </w:tc>
      </w:tr>
      <w:tr w:rsidR="00BE3BCA" w:rsidRPr="00BA35B7" w14:paraId="17336D4B" w14:textId="77777777" w:rsidTr="002B482F">
        <w:trPr>
          <w:cantSplit/>
          <w:trHeight w:val="103"/>
          <w:jc w:val="center"/>
        </w:trPr>
        <w:tc>
          <w:tcPr>
            <w:tcW w:w="11103" w:type="dxa"/>
            <w:gridSpan w:val="7"/>
            <w:shd w:val="clear" w:color="auto" w:fill="CCCCCC"/>
          </w:tcPr>
          <w:p w14:paraId="2C1E085C" w14:textId="77777777" w:rsidR="00BE3BCA" w:rsidRPr="005A02E7" w:rsidRDefault="00BE3BCA" w:rsidP="002B482F">
            <w:pPr>
              <w:spacing w:before="31"/>
              <w:rPr>
                <w:rFonts w:ascii="Gill Sans MT" w:hAnsi="Gill Sans MT"/>
                <w:sz w:val="8"/>
                <w:szCs w:val="8"/>
              </w:rPr>
            </w:pPr>
          </w:p>
        </w:tc>
      </w:tr>
    </w:tbl>
    <w:p w14:paraId="2AF48EBE" w14:textId="608A7586" w:rsidR="00BE3BCA" w:rsidRDefault="00BE3BCA" w:rsidP="00BE3BCA">
      <w:pPr>
        <w:jc w:val="both"/>
      </w:pPr>
    </w:p>
    <w:p w14:paraId="3ACB6E78" w14:textId="77777777" w:rsidR="001A1B1B" w:rsidRDefault="001A1B1B" w:rsidP="00BE3BCA">
      <w:pPr>
        <w:jc w:val="both"/>
      </w:pPr>
    </w:p>
    <w:p w14:paraId="0314E738" w14:textId="77777777" w:rsidR="003237E7" w:rsidRDefault="00DF4401" w:rsidP="00DF4401">
      <w:pPr>
        <w:jc w:val="both"/>
        <w:rPr>
          <w:color w:val="000000"/>
        </w:rPr>
      </w:pPr>
      <w:r w:rsidRPr="00F16BE9">
        <w:t>Teachers assigned to the comparison condition were expected to continue implementing the English language arts curricula currently being used by them.  In the 2013-14 school year, two</w:t>
      </w:r>
      <w:r w:rsidRPr="00F16BE9">
        <w:rPr>
          <w:color w:val="000000"/>
        </w:rPr>
        <w:t xml:space="preserve"> study schools (i.e</w:t>
      </w:r>
      <w:r>
        <w:rPr>
          <w:color w:val="000000"/>
        </w:rPr>
        <w:t>., CA, CO) adopted published literacy</w:t>
      </w:r>
      <w:r w:rsidRPr="00F16BE9">
        <w:rPr>
          <w:color w:val="000000"/>
        </w:rPr>
        <w:t xml:space="preserve"> programs for use at 7</w:t>
      </w:r>
      <w:r w:rsidRPr="00F16BE9">
        <w:rPr>
          <w:color w:val="000000"/>
          <w:vertAlign w:val="superscript"/>
        </w:rPr>
        <w:t>th</w:t>
      </w:r>
      <w:r w:rsidRPr="00F16BE9">
        <w:rPr>
          <w:color w:val="000000"/>
        </w:rPr>
        <w:t xml:space="preserve"> grade.  Two other schools (i.e., AZ, NJ) relied on novels and teacher created and compiled materials for literacy and </w:t>
      </w:r>
      <w:r w:rsidRPr="0039565C">
        <w:rPr>
          <w:color w:val="000000"/>
        </w:rPr>
        <w:t xml:space="preserve">writing instruction.  The last two schools (i.e., NY, MI) </w:t>
      </w:r>
      <w:r w:rsidR="0039565C" w:rsidRPr="0039565C">
        <w:rPr>
          <w:color w:val="000000"/>
        </w:rPr>
        <w:t>instructed using</w:t>
      </w:r>
      <w:r w:rsidRPr="0039565C">
        <w:rPr>
          <w:color w:val="000000"/>
        </w:rPr>
        <w:t xml:space="preserve"> CCSS aligned</w:t>
      </w:r>
      <w:r w:rsidRPr="00F16BE9">
        <w:rPr>
          <w:color w:val="000000"/>
        </w:rPr>
        <w:t xml:space="preserve"> </w:t>
      </w:r>
      <w:r w:rsidR="00FB6CAC">
        <w:rPr>
          <w:color w:val="000000"/>
        </w:rPr>
        <w:t>materials</w:t>
      </w:r>
      <w:r w:rsidRPr="00F16BE9">
        <w:rPr>
          <w:color w:val="000000"/>
        </w:rPr>
        <w:t xml:space="preserve"> designed by state sanctioned organizations. These two sites represented the majority of the comparison students (i.e., 62%).  A third of the comparison students were in classrooms utilizing teacher created and compiled materials and a relatively small portion (i.e., 16%) received literacy instruction regularly from published text programs. </w:t>
      </w:r>
    </w:p>
    <w:p w14:paraId="53F6FACD" w14:textId="77777777" w:rsidR="00614F74" w:rsidRDefault="00614F74" w:rsidP="00DF4401">
      <w:pPr>
        <w:jc w:val="both"/>
        <w:rPr>
          <w:color w:val="000000"/>
        </w:rPr>
      </w:pPr>
    </w:p>
    <w:p w14:paraId="41D74C4E" w14:textId="5DEAEF08" w:rsidR="00ED6DA4" w:rsidRDefault="00966FDB" w:rsidP="00DF4401">
      <w:pPr>
        <w:jc w:val="both"/>
        <w:rPr>
          <w:color w:val="000000"/>
        </w:rPr>
      </w:pPr>
      <w:r>
        <w:rPr>
          <w:color w:val="000000"/>
        </w:rPr>
        <w:t>C</w:t>
      </w:r>
      <w:r w:rsidR="00DF4401" w:rsidRPr="002968BD">
        <w:rPr>
          <w:color w:val="000000"/>
        </w:rPr>
        <w:t>omparison students re</w:t>
      </w:r>
      <w:r>
        <w:rPr>
          <w:color w:val="000000"/>
        </w:rPr>
        <w:t>ceived an average of 62 and 5</w:t>
      </w:r>
      <w:r w:rsidR="00A944DA">
        <w:rPr>
          <w:color w:val="000000"/>
        </w:rPr>
        <w:t>9</w:t>
      </w:r>
      <w:r>
        <w:rPr>
          <w:color w:val="000000"/>
        </w:rPr>
        <w:t xml:space="preserve"> minutes</w:t>
      </w:r>
      <w:r w:rsidR="00DF4401" w:rsidRPr="002968BD">
        <w:rPr>
          <w:color w:val="000000"/>
        </w:rPr>
        <w:t xml:space="preserve"> of </w:t>
      </w:r>
      <w:r>
        <w:rPr>
          <w:color w:val="000000"/>
        </w:rPr>
        <w:t>daily literacy instruction in 2013-14 and 2014-15 respectively</w:t>
      </w:r>
      <w:r w:rsidR="00DF4401" w:rsidRPr="002968BD">
        <w:rPr>
          <w:color w:val="000000"/>
        </w:rPr>
        <w:t xml:space="preserve">.  The iLit students received considerably more literacy </w:t>
      </w:r>
      <w:r w:rsidR="00DF4401" w:rsidRPr="00A944DA">
        <w:rPr>
          <w:color w:val="000000"/>
        </w:rPr>
        <w:t>instruction, an average 97</w:t>
      </w:r>
      <w:r w:rsidR="00886584">
        <w:rPr>
          <w:color w:val="000000"/>
        </w:rPr>
        <w:t xml:space="preserve"> </w:t>
      </w:r>
      <w:r w:rsidR="00790884">
        <w:rPr>
          <w:color w:val="000000"/>
        </w:rPr>
        <w:t xml:space="preserve">minutes </w:t>
      </w:r>
      <w:r w:rsidR="00886584">
        <w:rPr>
          <w:color w:val="000000"/>
        </w:rPr>
        <w:t>of daily literacy instruction in 2013-14</w:t>
      </w:r>
      <w:r w:rsidR="00DF4401" w:rsidRPr="00A944DA">
        <w:rPr>
          <w:color w:val="000000"/>
        </w:rPr>
        <w:t xml:space="preserve"> </w:t>
      </w:r>
      <w:r w:rsidRPr="00A944DA">
        <w:rPr>
          <w:color w:val="000000"/>
        </w:rPr>
        <w:t>and 8</w:t>
      </w:r>
      <w:r w:rsidR="00A944DA" w:rsidRPr="00A944DA">
        <w:rPr>
          <w:color w:val="000000"/>
        </w:rPr>
        <w:t>0</w:t>
      </w:r>
      <w:r w:rsidRPr="00A944DA">
        <w:rPr>
          <w:color w:val="000000"/>
        </w:rPr>
        <w:t xml:space="preserve"> minutes</w:t>
      </w:r>
      <w:r w:rsidR="00886584">
        <w:rPr>
          <w:color w:val="000000"/>
        </w:rPr>
        <w:t xml:space="preserve"> of daily </w:t>
      </w:r>
      <w:r w:rsidR="00886584">
        <w:rPr>
          <w:color w:val="000000"/>
        </w:rPr>
        <w:lastRenderedPageBreak/>
        <w:t>literacy instruction in 2014-15</w:t>
      </w:r>
      <w:r w:rsidR="00DF4401" w:rsidRPr="00A944DA">
        <w:rPr>
          <w:color w:val="000000"/>
        </w:rPr>
        <w:t>.</w:t>
      </w:r>
      <w:r w:rsidRPr="00A944DA">
        <w:rPr>
          <w:color w:val="000000"/>
        </w:rPr>
        <w:t xml:space="preserve">  This is to be expected as the iLit program is based on a </w:t>
      </w:r>
      <w:r w:rsidR="00627125" w:rsidRPr="00A944DA">
        <w:rPr>
          <w:color w:val="000000"/>
        </w:rPr>
        <w:t>90-minute</w:t>
      </w:r>
      <w:r w:rsidRPr="00A944DA">
        <w:rPr>
          <w:color w:val="000000"/>
        </w:rPr>
        <w:t xml:space="preserve"> literacy block and the study was designed accordingly.</w:t>
      </w:r>
      <w:r w:rsidR="00627125">
        <w:rPr>
          <w:color w:val="000000"/>
        </w:rPr>
        <w:t xml:space="preserve">  </w:t>
      </w:r>
      <w:r w:rsidR="00C93708">
        <w:rPr>
          <w:color w:val="000000"/>
        </w:rPr>
        <w:t>Teaching experience was similar between the study groups.  The comparison students were instructed by a teacher with an average of 8.33 years teaching, 10.34 years for the iLit group.</w:t>
      </w:r>
      <w:r w:rsidR="00ED6DA4">
        <w:rPr>
          <w:color w:val="000000"/>
        </w:rPr>
        <w:t xml:space="preserve">  The teachers for both study groups were also well educated.</w:t>
      </w:r>
      <w:r w:rsidR="00C93708">
        <w:rPr>
          <w:color w:val="000000"/>
        </w:rPr>
        <w:t xml:space="preserve">  </w:t>
      </w:r>
      <w:r w:rsidR="00ED6DA4">
        <w:rPr>
          <w:color w:val="000000"/>
        </w:rPr>
        <w:t xml:space="preserve">Seventy-two percent of the comparison students were instructed by a teacher with a master’s degree and 93% of the iLit students had a teacher with a master’s degree.  </w:t>
      </w:r>
    </w:p>
    <w:p w14:paraId="7B971217" w14:textId="77777777" w:rsidR="005B1775" w:rsidRDefault="005B1775" w:rsidP="001C1FF5">
      <w:pPr>
        <w:jc w:val="both"/>
        <w:rPr>
          <w:highlight w:val="green"/>
        </w:rPr>
      </w:pPr>
    </w:p>
    <w:p w14:paraId="6D9E00AD" w14:textId="77777777" w:rsidR="000E7B71" w:rsidRDefault="000E7B71" w:rsidP="001C1FF5">
      <w:pPr>
        <w:jc w:val="both"/>
        <w:rPr>
          <w:highlight w:val="green"/>
        </w:rPr>
      </w:pPr>
    </w:p>
    <w:p w14:paraId="618CE4A8"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752CEBF3" w14:textId="77777777" w:rsidR="003D244A" w:rsidRDefault="003D244A" w:rsidP="003D7BFE">
      <w:pPr>
        <w:rPr>
          <w:b/>
          <w:i/>
          <w:color w:val="000080"/>
          <w:sz w:val="28"/>
          <w:szCs w:val="28"/>
          <w:shd w:val="clear" w:color="auto" w:fill="D9D9D9"/>
        </w:rPr>
      </w:pPr>
      <w:r>
        <w:rPr>
          <w:b/>
          <w:i/>
          <w:color w:val="000080"/>
          <w:sz w:val="28"/>
          <w:szCs w:val="28"/>
        </w:rPr>
        <w:t xml:space="preserve">  iLit Instruction and Implementation </w:t>
      </w:r>
    </w:p>
    <w:p w14:paraId="5764D132"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51BA582F" w14:textId="77777777" w:rsidR="003D244A" w:rsidRDefault="003D244A" w:rsidP="003D7BFE">
      <w:pPr>
        <w:jc w:val="both"/>
      </w:pPr>
    </w:p>
    <w:p w14:paraId="2BEC44DB" w14:textId="741F4A2E" w:rsidR="008A3920" w:rsidRDefault="003D244A" w:rsidP="008A3920">
      <w:pPr>
        <w:jc w:val="both"/>
      </w:pPr>
      <w:r>
        <w:t xml:space="preserve">This section provides evidence in response to research question four; </w:t>
      </w:r>
      <w:r w:rsidR="00790884">
        <w:t>specifically,</w:t>
      </w:r>
      <w:r>
        <w:t xml:space="preserve"> how are teachers implementing the iLit program.  </w:t>
      </w:r>
      <w:r>
        <w:rPr>
          <w:color w:val="000000"/>
        </w:rPr>
        <w:t xml:space="preserve">The iLit teachers were expected to use the program about 90 </w:t>
      </w:r>
      <w:r w:rsidRPr="00E73C5B">
        <w:rPr>
          <w:color w:val="000000"/>
        </w:rPr>
        <w:t>minutes a day during their literacy blocks.</w:t>
      </w:r>
      <w:r w:rsidRPr="00E73C5B">
        <w:t xml:space="preserve">  </w:t>
      </w:r>
      <w:r w:rsidR="008A3920" w:rsidRPr="00E73C5B">
        <w:rPr>
          <w:color w:val="000000"/>
        </w:rPr>
        <w:t xml:space="preserve">The iLit teachers felt their instruction blocks could be shorter </w:t>
      </w:r>
      <w:r w:rsidR="00195F61" w:rsidRPr="00E73C5B">
        <w:rPr>
          <w:color w:val="000000"/>
        </w:rPr>
        <w:t xml:space="preserve">in the second school year.  Reasons for shortening the blocks included: </w:t>
      </w:r>
      <w:r w:rsidR="00E73C5B">
        <w:rPr>
          <w:color w:val="000000"/>
        </w:rPr>
        <w:t xml:space="preserve"> </w:t>
      </w:r>
      <w:r w:rsidR="008A3920" w:rsidRPr="00E73C5B">
        <w:rPr>
          <w:color w:val="000000"/>
        </w:rPr>
        <w:t>the students were</w:t>
      </w:r>
      <w:r w:rsidR="00195F61" w:rsidRPr="00E73C5B">
        <w:rPr>
          <w:color w:val="000000"/>
        </w:rPr>
        <w:t xml:space="preserve"> already</w:t>
      </w:r>
      <w:r w:rsidR="008A3920" w:rsidRPr="00E73C5B">
        <w:rPr>
          <w:color w:val="000000"/>
        </w:rPr>
        <w:t xml:space="preserve"> familiar with the program</w:t>
      </w:r>
      <w:r w:rsidR="00195F61" w:rsidRPr="00E73C5B">
        <w:rPr>
          <w:color w:val="000000"/>
        </w:rPr>
        <w:t xml:space="preserve"> and were working more efficiently</w:t>
      </w:r>
      <w:r w:rsidR="008A3920" w:rsidRPr="00E73C5B">
        <w:rPr>
          <w:color w:val="000000"/>
        </w:rPr>
        <w:t xml:space="preserve">, students would remain more engaged, </w:t>
      </w:r>
      <w:r w:rsidR="00195F61" w:rsidRPr="00E73C5B">
        <w:rPr>
          <w:color w:val="000000"/>
        </w:rPr>
        <w:t xml:space="preserve">portions of students’ </w:t>
      </w:r>
      <w:r w:rsidR="008A3920" w:rsidRPr="00E73C5B">
        <w:rPr>
          <w:color w:val="000000"/>
        </w:rPr>
        <w:t>daily work could be supplemented with homework</w:t>
      </w:r>
      <w:r w:rsidR="00195F61" w:rsidRPr="00E73C5B">
        <w:t>, and scheduling</w:t>
      </w:r>
      <w:r w:rsidR="00195F61">
        <w:t xml:space="preserve"> shorter blocks </w:t>
      </w:r>
      <w:r w:rsidR="00E73C5B">
        <w:t xml:space="preserve">could allow specials to be included in the iLit students’ school week. </w:t>
      </w:r>
      <w:r w:rsidR="00195F61">
        <w:t xml:space="preserve"> </w:t>
      </w:r>
    </w:p>
    <w:p w14:paraId="4D2F5BAB" w14:textId="77777777" w:rsidR="006D6259" w:rsidRDefault="006D6259" w:rsidP="003D7BFE">
      <w:pPr>
        <w:jc w:val="both"/>
      </w:pPr>
    </w:p>
    <w:p w14:paraId="2785B20C" w14:textId="5DEA08E4" w:rsidR="002A7D3C" w:rsidRDefault="003D244A" w:rsidP="008A3920">
      <w:pPr>
        <w:jc w:val="both"/>
        <w:rPr>
          <w:color w:val="000000"/>
        </w:rPr>
      </w:pPr>
      <w:r>
        <w:rPr>
          <w:color w:val="000000"/>
        </w:rPr>
        <w:t>Teachers reported their students received an average</w:t>
      </w:r>
      <w:r w:rsidR="006141D6">
        <w:rPr>
          <w:color w:val="000000"/>
        </w:rPr>
        <w:t xml:space="preserve"> of</w:t>
      </w:r>
      <w:r w:rsidR="006D6259">
        <w:rPr>
          <w:color w:val="000000"/>
        </w:rPr>
        <w:t xml:space="preserve"> 97 minutes</w:t>
      </w:r>
      <w:r>
        <w:rPr>
          <w:color w:val="000000"/>
        </w:rPr>
        <w:t xml:space="preserve"> of daily literacy instruction</w:t>
      </w:r>
      <w:r w:rsidR="00E87F18">
        <w:rPr>
          <w:color w:val="000000"/>
        </w:rPr>
        <w:t xml:space="preserve"> in the initial</w:t>
      </w:r>
      <w:r w:rsidR="006D6259">
        <w:rPr>
          <w:color w:val="000000"/>
        </w:rPr>
        <w:t xml:space="preserve"> school</w:t>
      </w:r>
      <w:r w:rsidR="00E87F18">
        <w:rPr>
          <w:color w:val="000000"/>
        </w:rPr>
        <w:t xml:space="preserve"> year</w:t>
      </w:r>
      <w:r>
        <w:rPr>
          <w:color w:val="000000"/>
        </w:rPr>
        <w:t>.  The literacy blocks ranged from 86 to 1</w:t>
      </w:r>
      <w:r w:rsidR="008A3920">
        <w:rPr>
          <w:color w:val="000000"/>
        </w:rPr>
        <w:t>38</w:t>
      </w:r>
      <w:r>
        <w:rPr>
          <w:color w:val="000000"/>
        </w:rPr>
        <w:t xml:space="preserve"> minutes.  Teachers reported daily in their logs that these blocks were 82% to 96% pure iLit instruction, </w:t>
      </w:r>
      <w:r w:rsidR="006141D6">
        <w:rPr>
          <w:color w:val="000000"/>
        </w:rPr>
        <w:t xml:space="preserve">with </w:t>
      </w:r>
      <w:r>
        <w:rPr>
          <w:color w:val="000000"/>
        </w:rPr>
        <w:t xml:space="preserve">an average of 90%.  </w:t>
      </w:r>
      <w:r w:rsidR="008A3920">
        <w:rPr>
          <w:color w:val="000000"/>
        </w:rPr>
        <w:t xml:space="preserve">In the second school year, teachers reported their students received an average of 80 minutes </w:t>
      </w:r>
      <w:r w:rsidR="008A3920" w:rsidRPr="002A7D3C">
        <w:rPr>
          <w:color w:val="000000"/>
        </w:rPr>
        <w:t>of daily literacy instruction.  The literacy blocks ranged from 50 to 120 minutes</w:t>
      </w:r>
      <w:r w:rsidR="0081512D" w:rsidRPr="002A7D3C">
        <w:rPr>
          <w:color w:val="000000"/>
        </w:rPr>
        <w:t xml:space="preserve"> and t</w:t>
      </w:r>
      <w:r w:rsidR="008A3920" w:rsidRPr="002A7D3C">
        <w:rPr>
          <w:color w:val="000000"/>
        </w:rPr>
        <w:t xml:space="preserve">eachers reported daily in their logs that these blocks were </w:t>
      </w:r>
      <w:r w:rsidR="002A7D3C" w:rsidRPr="002A7D3C">
        <w:rPr>
          <w:color w:val="000000"/>
        </w:rPr>
        <w:t>50</w:t>
      </w:r>
      <w:r w:rsidR="008A3920" w:rsidRPr="002A7D3C">
        <w:rPr>
          <w:color w:val="000000"/>
        </w:rPr>
        <w:t xml:space="preserve">% to </w:t>
      </w:r>
      <w:r w:rsidR="002A7D3C" w:rsidRPr="002A7D3C">
        <w:rPr>
          <w:color w:val="000000"/>
        </w:rPr>
        <w:t>100</w:t>
      </w:r>
      <w:r w:rsidR="008A3920" w:rsidRPr="002A7D3C">
        <w:rPr>
          <w:color w:val="000000"/>
        </w:rPr>
        <w:t xml:space="preserve">% pure iLit instruction, with an average of </w:t>
      </w:r>
      <w:r w:rsidR="002A7D3C" w:rsidRPr="002A7D3C">
        <w:rPr>
          <w:color w:val="000000"/>
        </w:rPr>
        <w:t>72</w:t>
      </w:r>
      <w:r w:rsidR="008A3920" w:rsidRPr="002A7D3C">
        <w:rPr>
          <w:color w:val="000000"/>
        </w:rPr>
        <w:t>%.</w:t>
      </w:r>
    </w:p>
    <w:p w14:paraId="4BC4245B" w14:textId="77777777" w:rsidR="002A7D3C" w:rsidRDefault="002A7D3C" w:rsidP="008A3920">
      <w:pPr>
        <w:jc w:val="both"/>
        <w:rPr>
          <w:color w:val="000000"/>
        </w:rPr>
      </w:pPr>
    </w:p>
    <w:p w14:paraId="5762E4B8" w14:textId="4C2B2666" w:rsidR="008A3920" w:rsidRDefault="002A7D3C" w:rsidP="008A3920">
      <w:pPr>
        <w:jc w:val="both"/>
        <w:rPr>
          <w:color w:val="000000"/>
        </w:rPr>
      </w:pPr>
      <w:r>
        <w:rPr>
          <w:color w:val="000000"/>
        </w:rPr>
        <w:t xml:space="preserve">The NY school implemented a special iLit model where iLit was used for 45 minutes daily and then instruction was supplemented with NY state adopted Engage modules.  This was to ensure the NY state standards were covered and students were prepared for the state test.  Since the iLit instruction time was effectively cut in half, </w:t>
      </w:r>
      <w:r w:rsidR="00F576B5">
        <w:rPr>
          <w:color w:val="000000"/>
        </w:rPr>
        <w:t>teachers employed the Time to Read component only once a week</w:t>
      </w:r>
      <w:r>
        <w:rPr>
          <w:color w:val="000000"/>
        </w:rPr>
        <w:t>.  The comparison classes in NY only used the Engage modules for 45 minutes daily.</w:t>
      </w:r>
      <w:r w:rsidR="008A3920">
        <w:rPr>
          <w:color w:val="000000"/>
        </w:rPr>
        <w:t xml:space="preserve">  </w:t>
      </w:r>
    </w:p>
    <w:p w14:paraId="76B6D805" w14:textId="77777777" w:rsidR="00DB302E" w:rsidRDefault="00DB302E" w:rsidP="0081512D">
      <w:pPr>
        <w:jc w:val="both"/>
        <w:rPr>
          <w:color w:val="000000"/>
        </w:rPr>
      </w:pPr>
    </w:p>
    <w:p w14:paraId="2809DDB5" w14:textId="3409C2B0" w:rsidR="00955494" w:rsidRDefault="003D244A" w:rsidP="0081512D">
      <w:pPr>
        <w:jc w:val="both"/>
        <w:rPr>
          <w:color w:val="000000"/>
        </w:rPr>
      </w:pPr>
      <w:r>
        <w:rPr>
          <w:color w:val="000000"/>
        </w:rPr>
        <w:t>The iLit program is based on 25 weeks of instruction organized int</w:t>
      </w:r>
      <w:r w:rsidR="001B5927">
        <w:rPr>
          <w:color w:val="000000"/>
        </w:rPr>
        <w:t>o 5 units of 25 lessons each.  I</w:t>
      </w:r>
      <w:r w:rsidR="00E87F18">
        <w:rPr>
          <w:color w:val="000000"/>
        </w:rPr>
        <w:t>n the initial school year</w:t>
      </w:r>
      <w:r w:rsidR="001B5927">
        <w:rPr>
          <w:color w:val="000000"/>
        </w:rPr>
        <w:t xml:space="preserve"> t</w:t>
      </w:r>
      <w:r>
        <w:rPr>
          <w:color w:val="000000"/>
        </w:rPr>
        <w:t xml:space="preserve">eachers used the program for an average 22 full weeks of instruction; individual sites ranged from 18 to 23 weeks.  It should be noted here that the NJ school </w:t>
      </w:r>
      <w:r>
        <w:t>did not start the iLit program until after winter break and used the program for 13 full weeks</w:t>
      </w:r>
      <w:r>
        <w:rPr>
          <w:color w:val="000000"/>
        </w:rPr>
        <w:t xml:space="preserve">.  Teachers were able to complete an average of </w:t>
      </w:r>
      <w:r w:rsidR="00CC4505">
        <w:rPr>
          <w:color w:val="000000"/>
        </w:rPr>
        <w:t>62</w:t>
      </w:r>
      <w:r>
        <w:rPr>
          <w:color w:val="000000"/>
        </w:rPr>
        <w:t xml:space="preserve"> iLit lessons (i.e., 5</w:t>
      </w:r>
      <w:r w:rsidR="006E007B">
        <w:rPr>
          <w:color w:val="000000"/>
        </w:rPr>
        <w:t>0</w:t>
      </w:r>
      <w:r>
        <w:rPr>
          <w:color w:val="000000"/>
        </w:rPr>
        <w:t>% of the available 125 iLit lessens) with individual teachers completing 46 to 89</w:t>
      </w:r>
      <w:r w:rsidR="00886584">
        <w:rPr>
          <w:color w:val="000000"/>
        </w:rPr>
        <w:t xml:space="preserve"> lessons</w:t>
      </w:r>
      <w:r>
        <w:rPr>
          <w:color w:val="000000"/>
        </w:rPr>
        <w:t>.</w:t>
      </w:r>
      <w:r w:rsidR="0081512D">
        <w:rPr>
          <w:color w:val="000000"/>
        </w:rPr>
        <w:t xml:space="preserve">  </w:t>
      </w:r>
      <w:r w:rsidR="00955494" w:rsidRPr="006E007B">
        <w:rPr>
          <w:color w:val="000000"/>
        </w:rPr>
        <w:t>In the second school year</w:t>
      </w:r>
      <w:r w:rsidR="006E007B">
        <w:rPr>
          <w:color w:val="000000"/>
        </w:rPr>
        <w:t>,</w:t>
      </w:r>
      <w:r w:rsidR="006E007B" w:rsidRPr="006E007B">
        <w:rPr>
          <w:color w:val="000000"/>
        </w:rPr>
        <w:t xml:space="preserve"> </w:t>
      </w:r>
      <w:r w:rsidR="00955494" w:rsidRPr="006E007B">
        <w:rPr>
          <w:color w:val="000000"/>
        </w:rPr>
        <w:t>teachers used the program for an average 2</w:t>
      </w:r>
      <w:r w:rsidR="006E007B" w:rsidRPr="006E007B">
        <w:rPr>
          <w:color w:val="000000"/>
        </w:rPr>
        <w:t>6</w:t>
      </w:r>
      <w:r w:rsidR="00955494" w:rsidRPr="006E007B">
        <w:rPr>
          <w:color w:val="000000"/>
        </w:rPr>
        <w:t xml:space="preserve"> full weeks of instructio</w:t>
      </w:r>
      <w:r w:rsidR="0081512D">
        <w:rPr>
          <w:color w:val="000000"/>
        </w:rPr>
        <w:t xml:space="preserve">n with </w:t>
      </w:r>
      <w:r w:rsidR="00955494" w:rsidRPr="006E007B">
        <w:rPr>
          <w:color w:val="000000"/>
        </w:rPr>
        <w:t>individual sites rang</w:t>
      </w:r>
      <w:r w:rsidR="0081512D">
        <w:rPr>
          <w:color w:val="000000"/>
        </w:rPr>
        <w:t>ing</w:t>
      </w:r>
      <w:r w:rsidR="00955494" w:rsidRPr="00917996">
        <w:rPr>
          <w:color w:val="000000"/>
        </w:rPr>
        <w:t xml:space="preserve"> from 1</w:t>
      </w:r>
      <w:r w:rsidR="00917996">
        <w:rPr>
          <w:color w:val="000000"/>
        </w:rPr>
        <w:t>7</w:t>
      </w:r>
      <w:r w:rsidR="00955494" w:rsidRPr="00917996">
        <w:rPr>
          <w:color w:val="000000"/>
        </w:rPr>
        <w:t xml:space="preserve"> to </w:t>
      </w:r>
      <w:r w:rsidR="00917996">
        <w:rPr>
          <w:color w:val="000000"/>
        </w:rPr>
        <w:t>31</w:t>
      </w:r>
      <w:r w:rsidR="00955494" w:rsidRPr="00917996">
        <w:rPr>
          <w:color w:val="000000"/>
        </w:rPr>
        <w:t xml:space="preserve"> weeks.  </w:t>
      </w:r>
      <w:r w:rsidR="00955494" w:rsidRPr="00CC4505">
        <w:rPr>
          <w:color w:val="000000"/>
        </w:rPr>
        <w:t xml:space="preserve">Teachers were able to complete an average of </w:t>
      </w:r>
      <w:r w:rsidR="00CC4505" w:rsidRPr="00CC4505">
        <w:rPr>
          <w:color w:val="000000"/>
        </w:rPr>
        <w:t>66</w:t>
      </w:r>
      <w:r w:rsidR="00955494" w:rsidRPr="00CC4505">
        <w:rPr>
          <w:color w:val="000000"/>
        </w:rPr>
        <w:t xml:space="preserve"> iLit lessons (i.e., 5</w:t>
      </w:r>
      <w:r w:rsidR="00CC4505" w:rsidRPr="00CC4505">
        <w:rPr>
          <w:color w:val="000000"/>
        </w:rPr>
        <w:t>3</w:t>
      </w:r>
      <w:r w:rsidR="00955494" w:rsidRPr="00CC4505">
        <w:rPr>
          <w:color w:val="000000"/>
        </w:rPr>
        <w:t>%)</w:t>
      </w:r>
      <w:r w:rsidR="00955494" w:rsidRPr="002C2AA1">
        <w:rPr>
          <w:color w:val="000000"/>
        </w:rPr>
        <w:t xml:space="preserve"> with individual teachers completing 4</w:t>
      </w:r>
      <w:r w:rsidR="002C2AA1" w:rsidRPr="002C2AA1">
        <w:rPr>
          <w:color w:val="000000"/>
        </w:rPr>
        <w:t>8</w:t>
      </w:r>
      <w:r w:rsidR="00955494" w:rsidRPr="002C2AA1">
        <w:rPr>
          <w:color w:val="000000"/>
        </w:rPr>
        <w:t xml:space="preserve"> to </w:t>
      </w:r>
      <w:r w:rsidR="002C2AA1" w:rsidRPr="002C2AA1">
        <w:rPr>
          <w:color w:val="000000"/>
        </w:rPr>
        <w:t>9</w:t>
      </w:r>
      <w:r w:rsidR="00955494" w:rsidRPr="002C2AA1">
        <w:rPr>
          <w:color w:val="000000"/>
        </w:rPr>
        <w:t>9</w:t>
      </w:r>
      <w:r w:rsidR="00886584">
        <w:rPr>
          <w:color w:val="000000"/>
        </w:rPr>
        <w:t xml:space="preserve"> lessons</w:t>
      </w:r>
      <w:r w:rsidR="00955494" w:rsidRPr="002C2AA1">
        <w:rPr>
          <w:color w:val="000000"/>
        </w:rPr>
        <w:t>.</w:t>
      </w:r>
    </w:p>
    <w:p w14:paraId="6397723F" w14:textId="77777777" w:rsidR="00955494" w:rsidRDefault="00955494" w:rsidP="0081512D">
      <w:pPr>
        <w:jc w:val="both"/>
        <w:rPr>
          <w:color w:val="000000"/>
        </w:rPr>
      </w:pPr>
    </w:p>
    <w:p w14:paraId="402B4425" w14:textId="0091DE9B" w:rsidR="003D244A" w:rsidRDefault="00996DF3" w:rsidP="0081512D">
      <w:pPr>
        <w:jc w:val="both"/>
        <w:rPr>
          <w:color w:val="000000"/>
        </w:rPr>
      </w:pPr>
      <w:r w:rsidRPr="00CA3571">
        <w:rPr>
          <w:color w:val="000000"/>
        </w:rPr>
        <w:t xml:space="preserve">Table </w:t>
      </w:r>
      <w:r w:rsidR="00CA3571" w:rsidRPr="00CA3571">
        <w:rPr>
          <w:color w:val="000000"/>
        </w:rPr>
        <w:t>3</w:t>
      </w:r>
      <w:r w:rsidR="003D244A" w:rsidRPr="00CA3571">
        <w:rPr>
          <w:color w:val="000000"/>
        </w:rPr>
        <w:t xml:space="preserve"> details the usage of iLit components.  It is apparent that most teachers regularly used the</w:t>
      </w:r>
      <w:r w:rsidR="003D244A">
        <w:rPr>
          <w:color w:val="000000"/>
        </w:rPr>
        <w:t xml:space="preserve"> daily components.  Three teachers (i.e., CO, NJ, one from NY), however, did not regularly find time or deem it necessary to include student journals and/or student con</w:t>
      </w:r>
      <w:r w:rsidR="00DE5144">
        <w:rPr>
          <w:color w:val="000000"/>
        </w:rPr>
        <w:t>ferencing.  Most</w:t>
      </w:r>
      <w:r w:rsidR="003D244A">
        <w:rPr>
          <w:color w:val="000000"/>
        </w:rPr>
        <w:t xml:space="preserve"> teache</w:t>
      </w:r>
      <w:r w:rsidR="00DE5144">
        <w:rPr>
          <w:color w:val="000000"/>
        </w:rPr>
        <w:t>rs</w:t>
      </w:r>
      <w:r w:rsidR="003D244A">
        <w:rPr>
          <w:color w:val="000000"/>
        </w:rPr>
        <w:t xml:space="preserve"> did not make much use of the end of unit performance tasks.</w:t>
      </w:r>
    </w:p>
    <w:p w14:paraId="56E207AC" w14:textId="77777777" w:rsidR="00260B76" w:rsidRDefault="00260B76" w:rsidP="00B83275">
      <w:pPr>
        <w:jc w:val="both"/>
        <w:rPr>
          <w:color w:val="000000" w:themeColor="text1"/>
          <w:highlight w:val="red"/>
        </w:rPr>
      </w:pPr>
    </w:p>
    <w:p w14:paraId="384D2F38" w14:textId="77777777" w:rsidR="00260B76" w:rsidRDefault="00260B76" w:rsidP="00260B76">
      <w:pPr>
        <w:jc w:val="both"/>
      </w:pPr>
      <w:r>
        <w:rPr>
          <w:color w:val="000000"/>
        </w:rPr>
        <w:lastRenderedPageBreak/>
        <w:t xml:space="preserve">The following sub-sections detail the product training and how well the iLit teachers implemented the program as observed by the research team.    </w:t>
      </w:r>
    </w:p>
    <w:p w14:paraId="04195A1A" w14:textId="77777777" w:rsidR="008A55FA" w:rsidRDefault="008A55FA" w:rsidP="00260B76">
      <w:pPr>
        <w:jc w:val="both"/>
      </w:pPr>
    </w:p>
    <w:p w14:paraId="5BA25A5B" w14:textId="77777777" w:rsidR="00260B76" w:rsidRDefault="00260B76" w:rsidP="00260B76">
      <w:pPr>
        <w:jc w:val="both"/>
      </w:pPr>
      <w:r>
        <w:rPr>
          <w:b/>
          <w:i/>
          <w:color w:val="000080"/>
          <w:sz w:val="28"/>
          <w:szCs w:val="28"/>
        </w:rPr>
        <w:t>iLit Teacher Training</w:t>
      </w:r>
    </w:p>
    <w:p w14:paraId="7E7136C3" w14:textId="77777777" w:rsidR="00260B76" w:rsidRPr="00EF52BE" w:rsidRDefault="00260B76" w:rsidP="00260B76">
      <w:pPr>
        <w:jc w:val="both"/>
      </w:pPr>
      <w:r>
        <w:t xml:space="preserve">To initiate the study, Gatti Evaluation representatives conducted a study orientation for all teachers at the start of the 2013-14 school year. The study orientation formally introduced the teachers to the research team, explained in detail the requirements and benefits of participation in the study, as well as, addressed any immediate questions or concerns about the research. All </w:t>
      </w:r>
      <w:r w:rsidRPr="00EF52BE">
        <w:t xml:space="preserve">teachers were required to read and sign informed consent forms. </w:t>
      </w:r>
    </w:p>
    <w:p w14:paraId="584ED1A5" w14:textId="77777777" w:rsidR="00260B76" w:rsidRPr="00EF52BE" w:rsidRDefault="00260B76" w:rsidP="00260B76">
      <w:pPr>
        <w:jc w:val="both"/>
        <w:rPr>
          <w:color w:val="000000" w:themeColor="text1"/>
        </w:rPr>
      </w:pPr>
    </w:p>
    <w:p w14:paraId="62CD9C0D" w14:textId="77777777" w:rsidR="00260B76" w:rsidRPr="005B375F" w:rsidRDefault="00260B76" w:rsidP="00260B76">
      <w:pPr>
        <w:jc w:val="both"/>
      </w:pPr>
      <w:r>
        <w:rPr>
          <w:b/>
          <w:i/>
          <w:color w:val="000080"/>
          <w:sz w:val="28"/>
          <w:szCs w:val="28"/>
        </w:rPr>
        <w:t xml:space="preserve">Teachers received multiple training sessions by Pearson curriculum specialists.  This well-received training allowed teachers to fully implement the iLit program and helped foster positive teacher and student attitudes.  </w:t>
      </w:r>
    </w:p>
    <w:p w14:paraId="04E89B42" w14:textId="77777777" w:rsidR="00260B76" w:rsidRDefault="00260B76" w:rsidP="00260B76"/>
    <w:p w14:paraId="6A98E21B" w14:textId="77777777" w:rsidR="00DB302E" w:rsidRDefault="00260B76" w:rsidP="00792DFF">
      <w:pPr>
        <w:jc w:val="both"/>
        <w:rPr>
          <w:color w:val="000000"/>
        </w:rPr>
      </w:pPr>
      <w:r>
        <w:t>The publisher ensured that sites had full access to the program and that access was continual throughout the duration of the study.  Pearson provided free product training and funding to cover the cost of substitute teachers during the trainings. All iLit teachers, including those teaching 8</w:t>
      </w:r>
      <w:r>
        <w:rPr>
          <w:vertAlign w:val="superscript"/>
        </w:rPr>
        <w:t>th</w:t>
      </w:r>
      <w:r>
        <w:t xml:space="preserve"> grade iLit students in the second year of the research study, were required to attend training sessions facilitated by a curriculum specialist supplied by the publisher. The initial </w:t>
      </w:r>
      <w:r>
        <w:rPr>
          <w:color w:val="000000"/>
        </w:rPr>
        <w:t xml:space="preserve">curriculum training took place on-site over the course of one full school day.  The training introduced administrators and teachers to the key components, resources and instructional features of iLit, including the digital presentations, the teacher and student application, and how to meet individual student needs. </w:t>
      </w:r>
    </w:p>
    <w:p w14:paraId="06270951" w14:textId="77777777" w:rsidR="00D95D3F" w:rsidRDefault="00D95D3F" w:rsidP="00D95D3F">
      <w:pPr>
        <w:jc w:val="both"/>
        <w:rPr>
          <w:color w:val="000000"/>
        </w:rPr>
      </w:pPr>
    </w:p>
    <w:p w14:paraId="229D244C" w14:textId="77777777" w:rsidR="00D95D3F" w:rsidRPr="0068515E" w:rsidRDefault="00D95D3F" w:rsidP="0068515E">
      <w:pPr>
        <w:jc w:val="both"/>
        <w:rPr>
          <w:color w:val="000000"/>
        </w:rPr>
      </w:pPr>
      <w:r>
        <w:rPr>
          <w:color w:val="000000"/>
        </w:rPr>
        <w:t xml:space="preserve">A follow-up training session was provided four to six weeks after the initial training session. These sessions were tailored to each individual schools’ needs and provided support for consistent usage and implementation fidelity. In addition, this time was further used to acquaint teachers with new features/aspects of the curriculum and to discuss and learn about the online reporting system.  These training sessions were coupled with in-classroom observations and one-on-one meetings </w:t>
      </w:r>
      <w:r w:rsidRPr="0068515E">
        <w:rPr>
          <w:color w:val="000000"/>
        </w:rPr>
        <w:t xml:space="preserve">between teachers and consultants.  They lasted one school day.  </w:t>
      </w:r>
      <w:r w:rsidR="0068515E" w:rsidRPr="0068515E">
        <w:rPr>
          <w:color w:val="000000"/>
        </w:rPr>
        <w:t xml:space="preserve">Finally, a </w:t>
      </w:r>
      <w:r w:rsidRPr="0068515E">
        <w:rPr>
          <w:color w:val="000000"/>
        </w:rPr>
        <w:t>r</w:t>
      </w:r>
      <w:r w:rsidR="0068515E" w:rsidRPr="0068515E">
        <w:rPr>
          <w:color w:val="000000"/>
        </w:rPr>
        <w:t>efresher training was delivered to each iLit teacher via WebEx.</w:t>
      </w:r>
      <w:r w:rsidR="0068515E">
        <w:rPr>
          <w:color w:val="000000"/>
        </w:rPr>
        <w:t xml:space="preserve">  This last training session typically last two hours.</w:t>
      </w:r>
    </w:p>
    <w:p w14:paraId="0186301C" w14:textId="77777777" w:rsidR="00D95D3F" w:rsidRPr="0068515E" w:rsidRDefault="00D95D3F" w:rsidP="00D95D3F">
      <w:pPr>
        <w:jc w:val="both"/>
        <w:rPr>
          <w:color w:val="000000" w:themeColor="text1"/>
        </w:rPr>
      </w:pPr>
    </w:p>
    <w:p w14:paraId="13F05401" w14:textId="77777777" w:rsidR="00FB4F4B" w:rsidRDefault="001E5229" w:rsidP="00D95D3F">
      <w:pPr>
        <w:jc w:val="both"/>
        <w:rPr>
          <w:color w:val="000000"/>
        </w:rPr>
      </w:pPr>
      <w:r>
        <w:rPr>
          <w:color w:val="000000"/>
        </w:rPr>
        <w:t>All iLit schools</w:t>
      </w:r>
      <w:r w:rsidR="00D95D3F">
        <w:rPr>
          <w:color w:val="000000"/>
        </w:rPr>
        <w:t xml:space="preserve"> required follow up technology visits to ensure that the installation was working efficiently with the local infrastructure. This time was also used to address any additional technology issues unique to each site. The AZ school in particular had a weak local infrastructure, with no available onsite district technology assistance. As a result, they required additional technology support from the publisher.  The most common issues experienced involved projection issues, problems with audio, challenges with pushing out and receiving assignments, freezing screens, slow loading, problems logging in.  Most technology issues arose from problems with the local infrastructure.  For example, iPads overheating, interrupted or insufficient bandwidth, or outdated, unsupported, and/or conflicting applications. </w:t>
      </w:r>
      <w:r w:rsidR="00FB4F4B">
        <w:rPr>
          <w:color w:val="000000"/>
        </w:rPr>
        <w:t xml:space="preserve"> Nearly all recurring technology issues were dealt with in 2013.</w:t>
      </w:r>
    </w:p>
    <w:p w14:paraId="05D355D4" w14:textId="77777777" w:rsidR="00D95D3F" w:rsidRDefault="00D95D3F" w:rsidP="00D95D3F">
      <w:pPr>
        <w:jc w:val="both"/>
        <w:rPr>
          <w:color w:val="000000"/>
        </w:rPr>
      </w:pPr>
    </w:p>
    <w:p w14:paraId="17904C1F" w14:textId="77777777" w:rsidR="00792DFF" w:rsidRDefault="00792DFF" w:rsidP="00792DFF">
      <w:pPr>
        <w:jc w:val="both"/>
        <w:rPr>
          <w:color w:val="000000" w:themeColor="text1"/>
          <w:highlight w:val="red"/>
        </w:rPr>
      </w:pPr>
      <w:r>
        <w:rPr>
          <w:color w:val="000000" w:themeColor="text1"/>
          <w:highlight w:val="red"/>
        </w:rPr>
        <w:br w:type="page"/>
      </w:r>
    </w:p>
    <w:p w14:paraId="15C4EF88" w14:textId="77777777" w:rsidR="00792DFF" w:rsidRDefault="00792DFF" w:rsidP="00B83275">
      <w:pPr>
        <w:jc w:val="both"/>
        <w:rPr>
          <w:color w:val="000000" w:themeColor="text1"/>
          <w:highlight w:val="red"/>
        </w:rPr>
        <w:sectPr w:rsidR="00792DFF" w:rsidSect="002C0044">
          <w:footerReference w:type="default" r:id="rId16"/>
          <w:pgSz w:w="12240" w:h="15840" w:code="1"/>
          <w:pgMar w:top="1267" w:right="1440" w:bottom="547" w:left="1440" w:header="720" w:footer="720" w:gutter="0"/>
          <w:cols w:space="720"/>
          <w:noEndnote/>
          <w:docGrid w:linePitch="326"/>
        </w:sectPr>
      </w:pPr>
    </w:p>
    <w:tbl>
      <w:tblPr>
        <w:tblpPr w:leftFromText="180" w:rightFromText="180" w:vertAnchor="text" w:horzAnchor="margin" w:tblpY="116"/>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1313"/>
        <w:gridCol w:w="1530"/>
        <w:gridCol w:w="1260"/>
        <w:gridCol w:w="1440"/>
        <w:gridCol w:w="1530"/>
        <w:gridCol w:w="1350"/>
        <w:gridCol w:w="1349"/>
        <w:gridCol w:w="1350"/>
        <w:gridCol w:w="1293"/>
      </w:tblGrid>
      <w:tr w:rsidR="00CD2E4C" w:rsidRPr="00B83275" w14:paraId="300D7EDE" w14:textId="77777777" w:rsidTr="002B482F">
        <w:trPr>
          <w:trHeight w:val="70"/>
        </w:trPr>
        <w:tc>
          <w:tcPr>
            <w:tcW w:w="13338" w:type="dxa"/>
            <w:gridSpan w:val="10"/>
            <w:shd w:val="clear" w:color="auto" w:fill="0070C0"/>
          </w:tcPr>
          <w:p w14:paraId="3F260152" w14:textId="7CD575B5" w:rsidR="00CD2E4C" w:rsidRPr="00B83275" w:rsidRDefault="00CD2E4C" w:rsidP="002B482F">
            <w:pPr>
              <w:spacing w:before="60" w:after="60"/>
              <w:rPr>
                <w:rFonts w:ascii="Gill Sans MT" w:hAnsi="Gill Sans MT"/>
                <w:sz w:val="16"/>
                <w:szCs w:val="16"/>
              </w:rPr>
            </w:pPr>
            <w:r w:rsidRPr="00B83275">
              <w:rPr>
                <w:sz w:val="22"/>
                <w:szCs w:val="22"/>
              </w:rPr>
              <w:lastRenderedPageBreak/>
              <w:br w:type="page"/>
            </w:r>
            <w:r w:rsidRPr="00E022D3">
              <w:rPr>
                <w:rFonts w:ascii="Gill Sans MT" w:hAnsi="Gill Sans MT"/>
                <w:color w:val="FFFF99"/>
              </w:rPr>
              <w:t xml:space="preserve">Table </w:t>
            </w:r>
            <w:r w:rsidR="00CA3571">
              <w:rPr>
                <w:rFonts w:ascii="Gill Sans MT" w:hAnsi="Gill Sans MT"/>
                <w:color w:val="FFFF99"/>
              </w:rPr>
              <w:t>3</w:t>
            </w:r>
            <w:r w:rsidRPr="00B83275">
              <w:rPr>
                <w:rFonts w:ascii="Gill Sans MT" w:hAnsi="Gill Sans MT"/>
                <w:color w:val="FFFF99"/>
              </w:rPr>
              <w:t xml:space="preserve">                                                  </w:t>
            </w:r>
            <w:r>
              <w:rPr>
                <w:rFonts w:ascii="Gill Sans MT" w:hAnsi="Gill Sans MT"/>
                <w:color w:val="FFFF99"/>
              </w:rPr>
              <w:t xml:space="preserve">    2013-14 iLit</w:t>
            </w:r>
            <w:r w:rsidRPr="00B83275">
              <w:rPr>
                <w:rFonts w:ascii="Gill Sans MT" w:hAnsi="Gill Sans MT"/>
                <w:color w:val="FFFF99"/>
              </w:rPr>
              <w:t xml:space="preserve"> Program Component Usage</w:t>
            </w:r>
          </w:p>
        </w:tc>
      </w:tr>
      <w:tr w:rsidR="00CD2E4C" w:rsidRPr="00B83275" w14:paraId="55F1CA3C" w14:textId="77777777" w:rsidTr="002B482F">
        <w:trPr>
          <w:trHeight w:val="288"/>
        </w:trPr>
        <w:tc>
          <w:tcPr>
            <w:tcW w:w="923" w:type="dxa"/>
            <w:shd w:val="clear" w:color="auto" w:fill="CCCCCC"/>
            <w:vAlign w:val="center"/>
          </w:tcPr>
          <w:p w14:paraId="10C8E52A" w14:textId="77777777" w:rsidR="00CD2E4C" w:rsidRPr="00260B76" w:rsidRDefault="00CD2E4C" w:rsidP="002B482F">
            <w:pPr>
              <w:spacing w:before="25" w:after="25"/>
              <w:jc w:val="center"/>
              <w:rPr>
                <w:rFonts w:ascii="Gill Sans MT" w:hAnsi="Gill Sans MT"/>
                <w:sz w:val="16"/>
                <w:szCs w:val="16"/>
              </w:rPr>
            </w:pPr>
            <w:r w:rsidRPr="00260B76">
              <w:rPr>
                <w:rFonts w:ascii="Gill Sans MT" w:hAnsi="Gill Sans MT"/>
                <w:sz w:val="16"/>
                <w:szCs w:val="16"/>
              </w:rPr>
              <w:t>Study Site</w:t>
            </w:r>
          </w:p>
        </w:tc>
        <w:tc>
          <w:tcPr>
            <w:tcW w:w="1313" w:type="dxa"/>
            <w:shd w:val="clear" w:color="auto" w:fill="CCCCCC"/>
            <w:vAlign w:val="center"/>
          </w:tcPr>
          <w:p w14:paraId="060C3FEC" w14:textId="77777777" w:rsidR="00CD2E4C" w:rsidRPr="00260B76" w:rsidRDefault="00CD2E4C" w:rsidP="002B482F">
            <w:pPr>
              <w:spacing w:before="25" w:after="25"/>
              <w:jc w:val="center"/>
              <w:rPr>
                <w:rFonts w:ascii="Gill Sans MT" w:hAnsi="Gill Sans MT"/>
                <w:sz w:val="16"/>
                <w:szCs w:val="16"/>
              </w:rPr>
            </w:pPr>
            <w:r w:rsidRPr="00260B76">
              <w:rPr>
                <w:rFonts w:ascii="Gill Sans MT" w:hAnsi="Gill Sans MT"/>
                <w:sz w:val="16"/>
                <w:szCs w:val="16"/>
              </w:rPr>
              <w:t>Time To Read Journals (15)</w:t>
            </w:r>
            <w:r w:rsidRPr="00260B76">
              <w:rPr>
                <w:rFonts w:ascii="Gill Sans MT" w:hAnsi="Gill Sans MT"/>
                <w:sz w:val="16"/>
                <w:szCs w:val="16"/>
                <w:vertAlign w:val="superscript"/>
              </w:rPr>
              <w:t>1</w:t>
            </w:r>
          </w:p>
        </w:tc>
        <w:tc>
          <w:tcPr>
            <w:tcW w:w="1530" w:type="dxa"/>
            <w:shd w:val="clear" w:color="auto" w:fill="CCCCCC"/>
            <w:vAlign w:val="center"/>
          </w:tcPr>
          <w:p w14:paraId="1EFCF509" w14:textId="77777777" w:rsidR="00CD2E4C" w:rsidRPr="00260B76" w:rsidRDefault="00CD2E4C" w:rsidP="002B482F">
            <w:pPr>
              <w:spacing w:before="25" w:after="25"/>
              <w:jc w:val="center"/>
              <w:rPr>
                <w:rFonts w:ascii="Gill Sans MT" w:hAnsi="Gill Sans MT"/>
                <w:sz w:val="16"/>
                <w:szCs w:val="16"/>
              </w:rPr>
            </w:pPr>
            <w:r w:rsidRPr="00260B76">
              <w:rPr>
                <w:rFonts w:ascii="Gill Sans MT" w:hAnsi="Gill Sans MT"/>
                <w:sz w:val="16"/>
                <w:szCs w:val="16"/>
              </w:rPr>
              <w:t>Time To Read Conferencing (15)</w:t>
            </w:r>
          </w:p>
        </w:tc>
        <w:tc>
          <w:tcPr>
            <w:tcW w:w="1260" w:type="dxa"/>
            <w:shd w:val="clear" w:color="auto" w:fill="CCCCCC"/>
            <w:vAlign w:val="center"/>
          </w:tcPr>
          <w:p w14:paraId="69512BDD" w14:textId="77777777" w:rsidR="00CD2E4C" w:rsidRPr="00260B76" w:rsidRDefault="00CD2E4C" w:rsidP="002B482F">
            <w:pPr>
              <w:spacing w:before="25" w:after="25"/>
              <w:jc w:val="center"/>
              <w:rPr>
                <w:rFonts w:ascii="Gill Sans MT" w:hAnsi="Gill Sans MT"/>
                <w:sz w:val="16"/>
                <w:szCs w:val="16"/>
              </w:rPr>
            </w:pPr>
            <w:r w:rsidRPr="00260B76">
              <w:rPr>
                <w:rFonts w:ascii="Gill Sans MT" w:hAnsi="Gill Sans MT"/>
                <w:sz w:val="16"/>
                <w:szCs w:val="16"/>
              </w:rPr>
              <w:t>Vocabulary (5)</w:t>
            </w:r>
          </w:p>
        </w:tc>
        <w:tc>
          <w:tcPr>
            <w:tcW w:w="1440" w:type="dxa"/>
            <w:shd w:val="clear" w:color="auto" w:fill="CCCCCC"/>
            <w:vAlign w:val="center"/>
          </w:tcPr>
          <w:p w14:paraId="6A0CB611" w14:textId="77777777" w:rsidR="00CD2E4C" w:rsidRPr="00260B76" w:rsidRDefault="00CD2E4C" w:rsidP="002B482F">
            <w:pPr>
              <w:spacing w:before="25" w:after="25"/>
              <w:jc w:val="center"/>
              <w:rPr>
                <w:rFonts w:ascii="Gill Sans MT" w:hAnsi="Gill Sans MT"/>
                <w:sz w:val="16"/>
                <w:szCs w:val="16"/>
              </w:rPr>
            </w:pPr>
            <w:r w:rsidRPr="00260B76">
              <w:rPr>
                <w:rFonts w:ascii="Gill Sans MT" w:hAnsi="Gill Sans MT"/>
                <w:sz w:val="16"/>
                <w:szCs w:val="16"/>
              </w:rPr>
              <w:t>Read Aloud, Think Aloud (15)</w:t>
            </w:r>
          </w:p>
        </w:tc>
        <w:tc>
          <w:tcPr>
            <w:tcW w:w="1530" w:type="dxa"/>
            <w:shd w:val="clear" w:color="auto" w:fill="CCCCCC"/>
            <w:vAlign w:val="center"/>
          </w:tcPr>
          <w:p w14:paraId="04B1A2E4" w14:textId="77777777" w:rsidR="00CD2E4C" w:rsidRPr="00260B76" w:rsidRDefault="00CD2E4C" w:rsidP="002B482F">
            <w:pPr>
              <w:spacing w:before="25" w:after="25"/>
              <w:jc w:val="center"/>
              <w:rPr>
                <w:rFonts w:ascii="Gill Sans MT" w:hAnsi="Gill Sans MT"/>
                <w:sz w:val="16"/>
                <w:szCs w:val="16"/>
              </w:rPr>
            </w:pPr>
            <w:r w:rsidRPr="00260B76">
              <w:rPr>
                <w:rFonts w:ascii="Gill Sans MT" w:hAnsi="Gill Sans MT"/>
                <w:sz w:val="16"/>
                <w:szCs w:val="16"/>
              </w:rPr>
              <w:t>Classroom Conversation (10)</w:t>
            </w:r>
          </w:p>
        </w:tc>
        <w:tc>
          <w:tcPr>
            <w:tcW w:w="1350" w:type="dxa"/>
            <w:shd w:val="clear" w:color="auto" w:fill="CCCCCC"/>
            <w:vAlign w:val="center"/>
          </w:tcPr>
          <w:p w14:paraId="2DC2A9D8" w14:textId="77777777" w:rsidR="00CD2E4C" w:rsidRPr="00260B76" w:rsidRDefault="00CD2E4C" w:rsidP="002B482F">
            <w:pPr>
              <w:spacing w:before="25" w:after="25"/>
              <w:jc w:val="center"/>
              <w:rPr>
                <w:rFonts w:ascii="Gill Sans MT" w:hAnsi="Gill Sans MT"/>
                <w:sz w:val="16"/>
                <w:szCs w:val="16"/>
              </w:rPr>
            </w:pPr>
            <w:r w:rsidRPr="00260B76">
              <w:rPr>
                <w:rFonts w:ascii="Gill Sans MT" w:hAnsi="Gill Sans MT"/>
                <w:sz w:val="16"/>
                <w:szCs w:val="16"/>
              </w:rPr>
              <w:t>Whole Group Instruction (15)</w:t>
            </w:r>
          </w:p>
        </w:tc>
        <w:tc>
          <w:tcPr>
            <w:tcW w:w="1349" w:type="dxa"/>
            <w:shd w:val="clear" w:color="auto" w:fill="CCCCCC"/>
            <w:vAlign w:val="center"/>
          </w:tcPr>
          <w:p w14:paraId="1FFA92F8" w14:textId="77777777" w:rsidR="00CD2E4C" w:rsidRPr="00260B76" w:rsidRDefault="00CD2E4C" w:rsidP="002B482F">
            <w:pPr>
              <w:spacing w:before="25" w:after="25"/>
              <w:jc w:val="center"/>
              <w:rPr>
                <w:rFonts w:ascii="Gill Sans MT" w:hAnsi="Gill Sans MT"/>
                <w:sz w:val="16"/>
                <w:szCs w:val="16"/>
              </w:rPr>
            </w:pPr>
            <w:r w:rsidRPr="00260B76">
              <w:rPr>
                <w:rFonts w:ascii="Gill Sans MT" w:hAnsi="Gill Sans MT"/>
                <w:sz w:val="16"/>
                <w:szCs w:val="16"/>
              </w:rPr>
              <w:t>Work Time (30)</w:t>
            </w:r>
          </w:p>
        </w:tc>
        <w:tc>
          <w:tcPr>
            <w:tcW w:w="1350" w:type="dxa"/>
            <w:shd w:val="clear" w:color="auto" w:fill="CCCCCC"/>
            <w:vAlign w:val="center"/>
          </w:tcPr>
          <w:p w14:paraId="6AE50337" w14:textId="77777777" w:rsidR="00CD2E4C" w:rsidRPr="00260B76" w:rsidRDefault="00CD2E4C" w:rsidP="002B482F">
            <w:pPr>
              <w:spacing w:before="25" w:after="25"/>
              <w:jc w:val="center"/>
              <w:rPr>
                <w:rFonts w:ascii="Gill Sans MT" w:hAnsi="Gill Sans MT"/>
                <w:sz w:val="16"/>
                <w:szCs w:val="16"/>
              </w:rPr>
            </w:pPr>
            <w:r w:rsidRPr="00260B76">
              <w:rPr>
                <w:rFonts w:ascii="Gill Sans MT" w:hAnsi="Gill Sans MT"/>
                <w:sz w:val="16"/>
                <w:szCs w:val="16"/>
              </w:rPr>
              <w:t>End of Unit Performance</w:t>
            </w:r>
          </w:p>
        </w:tc>
        <w:tc>
          <w:tcPr>
            <w:tcW w:w="1293" w:type="dxa"/>
            <w:tcBorders>
              <w:top w:val="nil"/>
            </w:tcBorders>
            <w:shd w:val="clear" w:color="auto" w:fill="CCCCCC"/>
            <w:vAlign w:val="center"/>
          </w:tcPr>
          <w:p w14:paraId="6EB94DFD" w14:textId="77777777" w:rsidR="00CD2E4C" w:rsidRPr="00260B76" w:rsidRDefault="00CD2E4C" w:rsidP="002B482F">
            <w:pPr>
              <w:spacing w:before="25" w:after="25"/>
              <w:rPr>
                <w:rFonts w:ascii="Gill Sans MT" w:hAnsi="Gill Sans MT"/>
                <w:sz w:val="16"/>
                <w:szCs w:val="16"/>
              </w:rPr>
            </w:pPr>
            <w:r w:rsidRPr="00260B76">
              <w:rPr>
                <w:rFonts w:ascii="Gill Sans MT" w:hAnsi="Gill Sans MT"/>
                <w:sz w:val="16"/>
                <w:szCs w:val="16"/>
              </w:rPr>
              <w:t>iLit Total (90)</w:t>
            </w:r>
          </w:p>
        </w:tc>
      </w:tr>
      <w:tr w:rsidR="00CD2E4C" w:rsidRPr="00B83275" w14:paraId="7E608FF3" w14:textId="77777777" w:rsidTr="002B482F">
        <w:tc>
          <w:tcPr>
            <w:tcW w:w="923" w:type="dxa"/>
            <w:vAlign w:val="center"/>
          </w:tcPr>
          <w:p w14:paraId="37E84C38" w14:textId="77777777" w:rsidR="00CD2E4C" w:rsidRPr="00B83275" w:rsidRDefault="00CD2E4C" w:rsidP="002B482F">
            <w:pPr>
              <w:spacing w:beforeLines="60" w:before="144" w:afterLines="60" w:after="144"/>
              <w:jc w:val="center"/>
              <w:rPr>
                <w:rFonts w:ascii="Gill Sans MT" w:hAnsi="Gill Sans MT"/>
                <w:sz w:val="16"/>
                <w:szCs w:val="16"/>
              </w:rPr>
            </w:pPr>
            <w:r w:rsidRPr="00B83275">
              <w:rPr>
                <w:rFonts w:ascii="Gill Sans MT" w:hAnsi="Gill Sans MT"/>
                <w:sz w:val="16"/>
                <w:szCs w:val="16"/>
              </w:rPr>
              <w:t>Average</w:t>
            </w:r>
          </w:p>
        </w:tc>
        <w:tc>
          <w:tcPr>
            <w:tcW w:w="1313" w:type="dxa"/>
            <w:vAlign w:val="center"/>
          </w:tcPr>
          <w:p w14:paraId="65C0D3D0"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12.36 (76.49%)</w:t>
            </w:r>
          </w:p>
        </w:tc>
        <w:tc>
          <w:tcPr>
            <w:tcW w:w="1530" w:type="dxa"/>
            <w:vAlign w:val="center"/>
          </w:tcPr>
          <w:p w14:paraId="318AB9BD"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13.30 (80.85%)</w:t>
            </w:r>
          </w:p>
        </w:tc>
        <w:tc>
          <w:tcPr>
            <w:tcW w:w="1260" w:type="dxa"/>
            <w:vAlign w:val="center"/>
          </w:tcPr>
          <w:p w14:paraId="32046612" w14:textId="77777777" w:rsidR="00CD2E4C" w:rsidRPr="00B83275" w:rsidRDefault="00CD2E4C" w:rsidP="002B482F">
            <w:pPr>
              <w:spacing w:beforeLines="60" w:before="144"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8.01 (99.34%)</w:t>
            </w:r>
          </w:p>
        </w:tc>
        <w:tc>
          <w:tcPr>
            <w:tcW w:w="1440" w:type="dxa"/>
            <w:vAlign w:val="center"/>
          </w:tcPr>
          <w:p w14:paraId="6DCC9548" w14:textId="77777777" w:rsidR="00CD2E4C" w:rsidRPr="00B83275" w:rsidRDefault="00CD2E4C" w:rsidP="002B482F">
            <w:pPr>
              <w:spacing w:beforeLines="60" w:before="144"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21.70 (99.55%)</w:t>
            </w:r>
          </w:p>
        </w:tc>
        <w:tc>
          <w:tcPr>
            <w:tcW w:w="1530" w:type="dxa"/>
            <w:vAlign w:val="center"/>
          </w:tcPr>
          <w:p w14:paraId="5C87D5B4"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8.84 (96.88%)</w:t>
            </w:r>
          </w:p>
        </w:tc>
        <w:tc>
          <w:tcPr>
            <w:tcW w:w="1350" w:type="dxa"/>
            <w:vAlign w:val="center"/>
          </w:tcPr>
          <w:p w14:paraId="621E3F9E" w14:textId="77777777" w:rsidR="00CD2E4C" w:rsidRPr="00B83275" w:rsidRDefault="00CD2E4C" w:rsidP="002B482F">
            <w:pPr>
              <w:spacing w:beforeLines="60" w:before="144" w:afterLines="60" w:after="144"/>
              <w:jc w:val="center"/>
              <w:rPr>
                <w:rFonts w:ascii="Gill Sans MT" w:hAnsi="Gill Sans MT" w:cs="Arial"/>
                <w:sz w:val="16"/>
                <w:szCs w:val="16"/>
              </w:rPr>
            </w:pPr>
            <w:r w:rsidRPr="00B83275">
              <w:rPr>
                <w:rFonts w:ascii="Gill Sans MT" w:hAnsi="Gill Sans MT" w:cs="Arial"/>
                <w:sz w:val="16"/>
                <w:szCs w:val="16"/>
              </w:rPr>
              <w:t>21.48 (98.48%)</w:t>
            </w:r>
          </w:p>
        </w:tc>
        <w:tc>
          <w:tcPr>
            <w:tcW w:w="1349" w:type="dxa"/>
            <w:vAlign w:val="center"/>
          </w:tcPr>
          <w:p w14:paraId="3D7B7973" w14:textId="77777777" w:rsidR="00CD2E4C" w:rsidRPr="00B83275" w:rsidRDefault="00CD2E4C" w:rsidP="002B482F">
            <w:pPr>
              <w:spacing w:beforeLines="60" w:before="144"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29.67 (99.81%)</w:t>
            </w:r>
          </w:p>
        </w:tc>
        <w:tc>
          <w:tcPr>
            <w:tcW w:w="1350" w:type="dxa"/>
            <w:vAlign w:val="center"/>
          </w:tcPr>
          <w:p w14:paraId="44EEFD94"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22.02 (99.81%)</w:t>
            </w:r>
          </w:p>
        </w:tc>
        <w:tc>
          <w:tcPr>
            <w:tcW w:w="1293" w:type="dxa"/>
            <w:vAlign w:val="center"/>
          </w:tcPr>
          <w:p w14:paraId="1F82F793"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115.36 (106.25)</w:t>
            </w:r>
          </w:p>
        </w:tc>
      </w:tr>
      <w:tr w:rsidR="00CD2E4C" w:rsidRPr="00B83275" w14:paraId="0628A33C" w14:textId="77777777" w:rsidTr="002B482F">
        <w:trPr>
          <w:trHeight w:val="491"/>
        </w:trPr>
        <w:tc>
          <w:tcPr>
            <w:tcW w:w="923" w:type="dxa"/>
            <w:tcBorders>
              <w:bottom w:val="nil"/>
            </w:tcBorders>
            <w:vAlign w:val="center"/>
          </w:tcPr>
          <w:p w14:paraId="597F5D67" w14:textId="77777777" w:rsidR="00CD2E4C" w:rsidRPr="00B83275" w:rsidRDefault="00CD2E4C" w:rsidP="002B482F">
            <w:pPr>
              <w:spacing w:beforeLines="60" w:before="144" w:afterLines="60" w:after="144"/>
              <w:jc w:val="center"/>
              <w:rPr>
                <w:rFonts w:ascii="Gill Sans MT" w:hAnsi="Gill Sans MT"/>
                <w:sz w:val="16"/>
                <w:szCs w:val="16"/>
              </w:rPr>
            </w:pPr>
            <w:r w:rsidRPr="00B83275">
              <w:rPr>
                <w:rFonts w:ascii="Gill Sans MT" w:hAnsi="Gill Sans MT"/>
                <w:sz w:val="16"/>
                <w:szCs w:val="16"/>
              </w:rPr>
              <w:t>AZ</w:t>
            </w:r>
          </w:p>
        </w:tc>
        <w:tc>
          <w:tcPr>
            <w:tcW w:w="1313" w:type="dxa"/>
            <w:tcBorders>
              <w:bottom w:val="nil"/>
            </w:tcBorders>
            <w:vAlign w:val="center"/>
          </w:tcPr>
          <w:p w14:paraId="062F29A3"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13.35 (100%)</w:t>
            </w:r>
          </w:p>
        </w:tc>
        <w:tc>
          <w:tcPr>
            <w:tcW w:w="1530" w:type="dxa"/>
            <w:tcBorders>
              <w:bottom w:val="nil"/>
            </w:tcBorders>
            <w:vAlign w:val="center"/>
          </w:tcPr>
          <w:p w14:paraId="5A5D174C"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12.96 (100%)</w:t>
            </w:r>
          </w:p>
        </w:tc>
        <w:tc>
          <w:tcPr>
            <w:tcW w:w="1260" w:type="dxa"/>
            <w:tcBorders>
              <w:bottom w:val="nil"/>
            </w:tcBorders>
            <w:vAlign w:val="center"/>
          </w:tcPr>
          <w:p w14:paraId="4053AA95" w14:textId="77777777" w:rsidR="00CD2E4C" w:rsidRPr="00B83275" w:rsidRDefault="00CD2E4C" w:rsidP="002B482F">
            <w:pPr>
              <w:spacing w:beforeLines="60" w:before="144"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7.87 (100%)</w:t>
            </w:r>
          </w:p>
        </w:tc>
        <w:tc>
          <w:tcPr>
            <w:tcW w:w="1440" w:type="dxa"/>
            <w:tcBorders>
              <w:bottom w:val="nil"/>
            </w:tcBorders>
            <w:vAlign w:val="center"/>
          </w:tcPr>
          <w:p w14:paraId="64C3E627" w14:textId="77777777" w:rsidR="00CD2E4C" w:rsidRPr="00B83275" w:rsidRDefault="00CD2E4C" w:rsidP="002B482F">
            <w:pPr>
              <w:spacing w:beforeLines="60" w:before="144"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19.14 (100%)</w:t>
            </w:r>
          </w:p>
        </w:tc>
        <w:tc>
          <w:tcPr>
            <w:tcW w:w="1530" w:type="dxa"/>
            <w:tcBorders>
              <w:bottom w:val="nil"/>
            </w:tcBorders>
            <w:vAlign w:val="center"/>
          </w:tcPr>
          <w:p w14:paraId="4A613FB5"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7.41 (100%)</w:t>
            </w:r>
          </w:p>
        </w:tc>
        <w:tc>
          <w:tcPr>
            <w:tcW w:w="1350" w:type="dxa"/>
            <w:tcBorders>
              <w:bottom w:val="nil"/>
            </w:tcBorders>
            <w:vAlign w:val="center"/>
          </w:tcPr>
          <w:p w14:paraId="0FD5DEEB" w14:textId="77777777" w:rsidR="00CD2E4C" w:rsidRPr="00B83275" w:rsidRDefault="00CD2E4C" w:rsidP="002B482F">
            <w:pPr>
              <w:spacing w:beforeLines="60" w:before="144" w:afterLines="60" w:after="144"/>
              <w:jc w:val="center"/>
              <w:rPr>
                <w:rFonts w:ascii="Gill Sans MT" w:hAnsi="Gill Sans MT" w:cs="Arial"/>
                <w:sz w:val="16"/>
                <w:szCs w:val="16"/>
              </w:rPr>
            </w:pPr>
            <w:r w:rsidRPr="00B83275">
              <w:rPr>
                <w:rFonts w:ascii="Gill Sans MT" w:hAnsi="Gill Sans MT" w:cs="Arial"/>
                <w:sz w:val="16"/>
                <w:szCs w:val="16"/>
              </w:rPr>
              <w:t>35.74 (100%)</w:t>
            </w:r>
          </w:p>
        </w:tc>
        <w:tc>
          <w:tcPr>
            <w:tcW w:w="1349" w:type="dxa"/>
            <w:tcBorders>
              <w:bottom w:val="nil"/>
            </w:tcBorders>
            <w:vAlign w:val="center"/>
          </w:tcPr>
          <w:p w14:paraId="1AD5A0E2" w14:textId="77777777" w:rsidR="00CD2E4C" w:rsidRPr="00B83275" w:rsidRDefault="00CD2E4C" w:rsidP="002B482F">
            <w:pPr>
              <w:spacing w:beforeLines="60" w:before="144"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36.52 (100%)</w:t>
            </w:r>
          </w:p>
        </w:tc>
        <w:tc>
          <w:tcPr>
            <w:tcW w:w="1350" w:type="dxa"/>
            <w:tcBorders>
              <w:bottom w:val="nil"/>
            </w:tcBorders>
            <w:vAlign w:val="center"/>
          </w:tcPr>
          <w:p w14:paraId="1089CAD5"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8.17 (100%)</w:t>
            </w:r>
          </w:p>
        </w:tc>
        <w:tc>
          <w:tcPr>
            <w:tcW w:w="1293" w:type="dxa"/>
            <w:tcBorders>
              <w:bottom w:val="nil"/>
            </w:tcBorders>
            <w:vAlign w:val="center"/>
          </w:tcPr>
          <w:p w14:paraId="113700DC"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132.99 (146)</w:t>
            </w:r>
          </w:p>
        </w:tc>
      </w:tr>
      <w:tr w:rsidR="00CD2E4C" w:rsidRPr="00B83275" w14:paraId="0AD5446E" w14:textId="77777777" w:rsidTr="002B482F">
        <w:trPr>
          <w:trHeight w:val="80"/>
        </w:trPr>
        <w:tc>
          <w:tcPr>
            <w:tcW w:w="923" w:type="dxa"/>
            <w:tcBorders>
              <w:top w:val="nil"/>
            </w:tcBorders>
            <w:vAlign w:val="center"/>
          </w:tcPr>
          <w:p w14:paraId="600AE7D2" w14:textId="77777777" w:rsidR="00CD2E4C" w:rsidRPr="00B83275" w:rsidRDefault="00CD2E4C" w:rsidP="0065136A">
            <w:pPr>
              <w:spacing w:afterLines="60" w:after="144"/>
              <w:jc w:val="center"/>
              <w:rPr>
                <w:rFonts w:ascii="Gill Sans MT" w:hAnsi="Gill Sans MT"/>
                <w:sz w:val="16"/>
                <w:szCs w:val="16"/>
              </w:rPr>
            </w:pPr>
            <w:r w:rsidRPr="00B83275">
              <w:rPr>
                <w:rFonts w:ascii="Gill Sans MT" w:hAnsi="Gill Sans MT"/>
                <w:sz w:val="16"/>
                <w:szCs w:val="16"/>
              </w:rPr>
              <w:t>AZ</w:t>
            </w:r>
          </w:p>
        </w:tc>
        <w:tc>
          <w:tcPr>
            <w:tcW w:w="1313" w:type="dxa"/>
            <w:tcBorders>
              <w:top w:val="nil"/>
            </w:tcBorders>
            <w:vAlign w:val="center"/>
          </w:tcPr>
          <w:p w14:paraId="1D6C57E1" w14:textId="77777777" w:rsidR="00CD2E4C" w:rsidRPr="00B83275" w:rsidRDefault="00CD2E4C" w:rsidP="0065136A">
            <w:pPr>
              <w:keepNext/>
              <w:adjustRightInd w:val="0"/>
              <w:spacing w:afterLines="60" w:after="144"/>
              <w:jc w:val="center"/>
              <w:rPr>
                <w:rFonts w:ascii="Gill Sans MT" w:hAnsi="Gill Sans MT"/>
                <w:color w:val="000000"/>
                <w:sz w:val="16"/>
                <w:szCs w:val="16"/>
              </w:rPr>
            </w:pPr>
            <w:r w:rsidRPr="00B83275">
              <w:rPr>
                <w:rFonts w:ascii="Gill Sans MT" w:hAnsi="Gill Sans MT"/>
                <w:color w:val="000000"/>
                <w:sz w:val="16"/>
                <w:szCs w:val="16"/>
              </w:rPr>
              <w:t>10.00 (100%)</w:t>
            </w:r>
          </w:p>
        </w:tc>
        <w:tc>
          <w:tcPr>
            <w:tcW w:w="1530" w:type="dxa"/>
            <w:tcBorders>
              <w:top w:val="nil"/>
            </w:tcBorders>
            <w:vAlign w:val="center"/>
          </w:tcPr>
          <w:p w14:paraId="60741E7D" w14:textId="77777777" w:rsidR="00CD2E4C" w:rsidRPr="00B83275" w:rsidRDefault="00CD2E4C" w:rsidP="0065136A">
            <w:pPr>
              <w:keepNext/>
              <w:adjustRightInd w:val="0"/>
              <w:spacing w:afterLines="60" w:after="144"/>
              <w:jc w:val="center"/>
              <w:rPr>
                <w:rFonts w:ascii="Gill Sans MT" w:hAnsi="Gill Sans MT"/>
                <w:color w:val="000000"/>
                <w:sz w:val="16"/>
                <w:szCs w:val="16"/>
              </w:rPr>
            </w:pPr>
            <w:r w:rsidRPr="00B83275">
              <w:rPr>
                <w:rFonts w:ascii="Gill Sans MT" w:hAnsi="Gill Sans MT"/>
                <w:color w:val="000000"/>
                <w:sz w:val="16"/>
                <w:szCs w:val="16"/>
              </w:rPr>
              <w:t>10.00 (100%)</w:t>
            </w:r>
          </w:p>
        </w:tc>
        <w:tc>
          <w:tcPr>
            <w:tcW w:w="1260" w:type="dxa"/>
            <w:tcBorders>
              <w:top w:val="nil"/>
            </w:tcBorders>
            <w:vAlign w:val="center"/>
          </w:tcPr>
          <w:p w14:paraId="61C293C0" w14:textId="77777777" w:rsidR="00CD2E4C" w:rsidRPr="00B83275" w:rsidRDefault="00CD2E4C" w:rsidP="0065136A">
            <w:pPr>
              <w:spacing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5.00 (100%)</w:t>
            </w:r>
          </w:p>
        </w:tc>
        <w:tc>
          <w:tcPr>
            <w:tcW w:w="1440" w:type="dxa"/>
            <w:tcBorders>
              <w:top w:val="nil"/>
            </w:tcBorders>
            <w:vAlign w:val="center"/>
          </w:tcPr>
          <w:p w14:paraId="00AB0DA3" w14:textId="77777777" w:rsidR="00CD2E4C" w:rsidRPr="00B83275" w:rsidRDefault="00CD2E4C" w:rsidP="0065136A">
            <w:pPr>
              <w:spacing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17.80 (100%)</w:t>
            </w:r>
          </w:p>
        </w:tc>
        <w:tc>
          <w:tcPr>
            <w:tcW w:w="1530" w:type="dxa"/>
            <w:tcBorders>
              <w:top w:val="nil"/>
            </w:tcBorders>
            <w:vAlign w:val="center"/>
          </w:tcPr>
          <w:p w14:paraId="3D36D45F" w14:textId="77777777" w:rsidR="00CD2E4C" w:rsidRPr="00B83275" w:rsidRDefault="00CD2E4C" w:rsidP="0065136A">
            <w:pPr>
              <w:keepNext/>
              <w:adjustRightInd w:val="0"/>
              <w:spacing w:afterLines="60" w:after="144"/>
              <w:jc w:val="center"/>
              <w:rPr>
                <w:rFonts w:ascii="Gill Sans MT" w:hAnsi="Gill Sans MT"/>
                <w:color w:val="000000"/>
                <w:sz w:val="16"/>
                <w:szCs w:val="16"/>
              </w:rPr>
            </w:pPr>
            <w:r w:rsidRPr="00B83275">
              <w:rPr>
                <w:rFonts w:ascii="Gill Sans MT" w:hAnsi="Gill Sans MT"/>
                <w:color w:val="000000"/>
                <w:sz w:val="16"/>
                <w:szCs w:val="16"/>
              </w:rPr>
              <w:t>10.00 (100%)</w:t>
            </w:r>
          </w:p>
        </w:tc>
        <w:tc>
          <w:tcPr>
            <w:tcW w:w="1350" w:type="dxa"/>
            <w:tcBorders>
              <w:top w:val="nil"/>
            </w:tcBorders>
            <w:vAlign w:val="center"/>
          </w:tcPr>
          <w:p w14:paraId="7B7E1627" w14:textId="77777777" w:rsidR="00CD2E4C" w:rsidRPr="00B83275" w:rsidRDefault="00CD2E4C" w:rsidP="0065136A">
            <w:pPr>
              <w:spacing w:afterLines="60" w:after="144"/>
              <w:jc w:val="center"/>
              <w:rPr>
                <w:rFonts w:ascii="Gill Sans MT" w:hAnsi="Gill Sans MT" w:cs="Arial"/>
                <w:sz w:val="16"/>
                <w:szCs w:val="16"/>
              </w:rPr>
            </w:pPr>
            <w:r w:rsidRPr="00B83275">
              <w:rPr>
                <w:rFonts w:ascii="Gill Sans MT" w:hAnsi="Gill Sans MT" w:cs="Arial"/>
                <w:sz w:val="16"/>
                <w:szCs w:val="16"/>
              </w:rPr>
              <w:t>25.61 (100%)</w:t>
            </w:r>
          </w:p>
        </w:tc>
        <w:tc>
          <w:tcPr>
            <w:tcW w:w="1349" w:type="dxa"/>
            <w:tcBorders>
              <w:top w:val="nil"/>
            </w:tcBorders>
            <w:vAlign w:val="center"/>
          </w:tcPr>
          <w:p w14:paraId="2F24D313" w14:textId="77777777" w:rsidR="00CD2E4C" w:rsidRPr="00B83275" w:rsidRDefault="00CD2E4C" w:rsidP="0065136A">
            <w:pPr>
              <w:spacing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30.00 (100%)</w:t>
            </w:r>
          </w:p>
        </w:tc>
        <w:tc>
          <w:tcPr>
            <w:tcW w:w="1350" w:type="dxa"/>
            <w:tcBorders>
              <w:top w:val="nil"/>
            </w:tcBorders>
            <w:vAlign w:val="center"/>
          </w:tcPr>
          <w:p w14:paraId="32C251F3" w14:textId="77777777" w:rsidR="00CD2E4C" w:rsidRPr="00B83275" w:rsidRDefault="00CD2E4C" w:rsidP="0065136A">
            <w:pPr>
              <w:keepNext/>
              <w:adjustRightInd w:val="0"/>
              <w:spacing w:afterLines="60" w:after="144"/>
              <w:jc w:val="center"/>
              <w:rPr>
                <w:rFonts w:ascii="Gill Sans MT" w:hAnsi="Gill Sans MT"/>
                <w:color w:val="000000"/>
                <w:sz w:val="16"/>
                <w:szCs w:val="16"/>
              </w:rPr>
            </w:pPr>
            <w:r w:rsidRPr="00B83275">
              <w:rPr>
                <w:rFonts w:ascii="Gill Sans MT" w:hAnsi="Gill Sans MT"/>
                <w:color w:val="000000"/>
                <w:sz w:val="16"/>
                <w:szCs w:val="16"/>
              </w:rPr>
              <w:t>5.00 (100%)</w:t>
            </w:r>
          </w:p>
        </w:tc>
        <w:tc>
          <w:tcPr>
            <w:tcW w:w="1293" w:type="dxa"/>
            <w:tcBorders>
              <w:top w:val="nil"/>
            </w:tcBorders>
            <w:vAlign w:val="center"/>
          </w:tcPr>
          <w:p w14:paraId="63CEAD25" w14:textId="77777777" w:rsidR="00CD2E4C" w:rsidRPr="00B83275" w:rsidRDefault="00CD2E4C" w:rsidP="0065136A">
            <w:pPr>
              <w:keepNext/>
              <w:adjustRightInd w:val="0"/>
              <w:spacing w:afterLines="60" w:after="144"/>
              <w:jc w:val="center"/>
              <w:rPr>
                <w:rFonts w:ascii="Gill Sans MT" w:hAnsi="Gill Sans MT"/>
                <w:color w:val="000000"/>
                <w:sz w:val="16"/>
                <w:szCs w:val="16"/>
              </w:rPr>
            </w:pPr>
            <w:r w:rsidRPr="00B83275">
              <w:rPr>
                <w:rFonts w:ascii="Gill Sans MT" w:hAnsi="Gill Sans MT"/>
                <w:color w:val="000000"/>
                <w:sz w:val="16"/>
                <w:szCs w:val="16"/>
              </w:rPr>
              <w:t>108.41 (144)</w:t>
            </w:r>
          </w:p>
        </w:tc>
      </w:tr>
      <w:tr w:rsidR="00CD2E4C" w:rsidRPr="00B83275" w14:paraId="21A08E0E" w14:textId="77777777" w:rsidTr="002B482F">
        <w:trPr>
          <w:trHeight w:val="70"/>
        </w:trPr>
        <w:tc>
          <w:tcPr>
            <w:tcW w:w="923" w:type="dxa"/>
            <w:vAlign w:val="center"/>
          </w:tcPr>
          <w:p w14:paraId="32AED739" w14:textId="77777777" w:rsidR="00CD2E4C" w:rsidRPr="00B83275" w:rsidRDefault="00CD2E4C" w:rsidP="002B482F">
            <w:pPr>
              <w:spacing w:beforeLines="60" w:before="144" w:afterLines="60" w:after="144"/>
              <w:jc w:val="center"/>
              <w:rPr>
                <w:rFonts w:ascii="Gill Sans MT" w:hAnsi="Gill Sans MT"/>
                <w:sz w:val="16"/>
                <w:szCs w:val="16"/>
              </w:rPr>
            </w:pPr>
            <w:r w:rsidRPr="00B83275">
              <w:rPr>
                <w:rFonts w:ascii="Gill Sans MT" w:hAnsi="Gill Sans MT"/>
                <w:sz w:val="16"/>
                <w:szCs w:val="16"/>
              </w:rPr>
              <w:t>CA</w:t>
            </w:r>
          </w:p>
        </w:tc>
        <w:tc>
          <w:tcPr>
            <w:tcW w:w="1313" w:type="dxa"/>
            <w:vAlign w:val="center"/>
          </w:tcPr>
          <w:p w14:paraId="78838670"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13.36 (92%)</w:t>
            </w:r>
          </w:p>
        </w:tc>
        <w:tc>
          <w:tcPr>
            <w:tcW w:w="1530" w:type="dxa"/>
            <w:vAlign w:val="center"/>
          </w:tcPr>
          <w:p w14:paraId="68C963A2"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4.93 (80%)</w:t>
            </w:r>
          </w:p>
        </w:tc>
        <w:tc>
          <w:tcPr>
            <w:tcW w:w="1260" w:type="dxa"/>
            <w:vAlign w:val="center"/>
          </w:tcPr>
          <w:p w14:paraId="11001BE4" w14:textId="77777777" w:rsidR="00CD2E4C" w:rsidRPr="00B83275" w:rsidRDefault="00CD2E4C" w:rsidP="002B482F">
            <w:pPr>
              <w:spacing w:beforeLines="60" w:before="144"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5.25 (100%)</w:t>
            </w:r>
          </w:p>
        </w:tc>
        <w:tc>
          <w:tcPr>
            <w:tcW w:w="1440" w:type="dxa"/>
            <w:vAlign w:val="center"/>
          </w:tcPr>
          <w:p w14:paraId="4C3AABBB" w14:textId="77777777" w:rsidR="00CD2E4C" w:rsidRPr="00B83275" w:rsidRDefault="00CD2E4C" w:rsidP="002B482F">
            <w:pPr>
              <w:spacing w:beforeLines="60" w:before="144"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17.06 (98%)</w:t>
            </w:r>
          </w:p>
        </w:tc>
        <w:tc>
          <w:tcPr>
            <w:tcW w:w="1530" w:type="dxa"/>
            <w:vAlign w:val="center"/>
          </w:tcPr>
          <w:p w14:paraId="01DAFDBA"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7.24 (93%)</w:t>
            </w:r>
          </w:p>
        </w:tc>
        <w:tc>
          <w:tcPr>
            <w:tcW w:w="1350" w:type="dxa"/>
            <w:vAlign w:val="center"/>
          </w:tcPr>
          <w:p w14:paraId="49448569" w14:textId="77777777" w:rsidR="00CD2E4C" w:rsidRPr="00B83275" w:rsidRDefault="00CD2E4C" w:rsidP="002B482F">
            <w:pPr>
              <w:spacing w:beforeLines="60" w:before="144" w:afterLines="60" w:after="144"/>
              <w:jc w:val="center"/>
              <w:rPr>
                <w:rFonts w:ascii="Gill Sans MT" w:hAnsi="Gill Sans MT" w:cs="Arial"/>
                <w:sz w:val="16"/>
                <w:szCs w:val="16"/>
              </w:rPr>
            </w:pPr>
            <w:r w:rsidRPr="00B83275">
              <w:rPr>
                <w:rFonts w:ascii="Gill Sans MT" w:hAnsi="Gill Sans MT" w:cs="Arial"/>
                <w:sz w:val="16"/>
                <w:szCs w:val="16"/>
              </w:rPr>
              <w:t>15.35 (97%)</w:t>
            </w:r>
          </w:p>
        </w:tc>
        <w:tc>
          <w:tcPr>
            <w:tcW w:w="1349" w:type="dxa"/>
            <w:vAlign w:val="center"/>
          </w:tcPr>
          <w:p w14:paraId="64BEF9DE" w14:textId="77777777" w:rsidR="00CD2E4C" w:rsidRPr="00B83275" w:rsidRDefault="00CD2E4C" w:rsidP="002B482F">
            <w:pPr>
              <w:spacing w:beforeLines="60" w:before="144"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32.05 (100%)</w:t>
            </w:r>
          </w:p>
        </w:tc>
        <w:tc>
          <w:tcPr>
            <w:tcW w:w="1350" w:type="dxa"/>
            <w:vAlign w:val="center"/>
          </w:tcPr>
          <w:p w14:paraId="0D8499A3"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11.32 (38%)</w:t>
            </w:r>
          </w:p>
        </w:tc>
        <w:tc>
          <w:tcPr>
            <w:tcW w:w="1293" w:type="dxa"/>
            <w:vAlign w:val="center"/>
          </w:tcPr>
          <w:p w14:paraId="3306A97A"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95.23 (90)</w:t>
            </w:r>
          </w:p>
        </w:tc>
      </w:tr>
      <w:tr w:rsidR="00CD2E4C" w:rsidRPr="00B83275" w14:paraId="2BD70CE6" w14:textId="77777777" w:rsidTr="002B482F">
        <w:trPr>
          <w:trHeight w:val="70"/>
        </w:trPr>
        <w:tc>
          <w:tcPr>
            <w:tcW w:w="923" w:type="dxa"/>
            <w:vAlign w:val="center"/>
          </w:tcPr>
          <w:p w14:paraId="277675AC" w14:textId="77777777" w:rsidR="00CD2E4C" w:rsidRPr="00B83275" w:rsidRDefault="00CD2E4C" w:rsidP="002B482F">
            <w:pPr>
              <w:spacing w:beforeLines="60" w:before="144" w:afterLines="60" w:after="144"/>
              <w:jc w:val="center"/>
              <w:rPr>
                <w:rFonts w:ascii="Gill Sans MT" w:hAnsi="Gill Sans MT"/>
                <w:sz w:val="16"/>
                <w:szCs w:val="16"/>
              </w:rPr>
            </w:pPr>
            <w:r w:rsidRPr="00B83275">
              <w:rPr>
                <w:rFonts w:ascii="Gill Sans MT" w:hAnsi="Gill Sans MT"/>
                <w:sz w:val="16"/>
                <w:szCs w:val="16"/>
              </w:rPr>
              <w:t>CO</w:t>
            </w:r>
          </w:p>
        </w:tc>
        <w:tc>
          <w:tcPr>
            <w:tcW w:w="1313" w:type="dxa"/>
            <w:vAlign w:val="center"/>
          </w:tcPr>
          <w:p w14:paraId="068CFF03"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15.00 (39%)</w:t>
            </w:r>
          </w:p>
        </w:tc>
        <w:tc>
          <w:tcPr>
            <w:tcW w:w="1530" w:type="dxa"/>
            <w:vAlign w:val="center"/>
          </w:tcPr>
          <w:p w14:paraId="6A1FBA0E"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14.07 (65%)</w:t>
            </w:r>
          </w:p>
        </w:tc>
        <w:tc>
          <w:tcPr>
            <w:tcW w:w="1260" w:type="dxa"/>
            <w:vAlign w:val="center"/>
          </w:tcPr>
          <w:p w14:paraId="5E318C1E" w14:textId="77777777" w:rsidR="00CD2E4C" w:rsidRPr="00B83275" w:rsidRDefault="00CD2E4C" w:rsidP="002B482F">
            <w:pPr>
              <w:spacing w:beforeLines="60" w:before="144"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10.70 (97%)</w:t>
            </w:r>
          </w:p>
        </w:tc>
        <w:tc>
          <w:tcPr>
            <w:tcW w:w="1440" w:type="dxa"/>
            <w:vAlign w:val="center"/>
          </w:tcPr>
          <w:p w14:paraId="2DD93D5B" w14:textId="77777777" w:rsidR="00CD2E4C" w:rsidRPr="00B83275" w:rsidRDefault="00CD2E4C" w:rsidP="002B482F">
            <w:pPr>
              <w:spacing w:beforeLines="60" w:before="144"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21.74 (100%)</w:t>
            </w:r>
          </w:p>
        </w:tc>
        <w:tc>
          <w:tcPr>
            <w:tcW w:w="1530" w:type="dxa"/>
            <w:vAlign w:val="center"/>
          </w:tcPr>
          <w:p w14:paraId="02139977"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8.23 (94%)</w:t>
            </w:r>
          </w:p>
        </w:tc>
        <w:tc>
          <w:tcPr>
            <w:tcW w:w="1350" w:type="dxa"/>
            <w:vAlign w:val="center"/>
          </w:tcPr>
          <w:p w14:paraId="44F30FB2" w14:textId="77777777" w:rsidR="00CD2E4C" w:rsidRPr="00B83275" w:rsidRDefault="00CD2E4C" w:rsidP="002B482F">
            <w:pPr>
              <w:spacing w:beforeLines="60" w:before="144" w:afterLines="60" w:after="144"/>
              <w:jc w:val="center"/>
              <w:rPr>
                <w:rFonts w:ascii="Gill Sans MT" w:hAnsi="Gill Sans MT" w:cs="Arial"/>
                <w:sz w:val="16"/>
                <w:szCs w:val="16"/>
              </w:rPr>
            </w:pPr>
            <w:r w:rsidRPr="00B83275">
              <w:rPr>
                <w:rFonts w:ascii="Gill Sans MT" w:hAnsi="Gill Sans MT" w:cs="Arial"/>
                <w:sz w:val="16"/>
                <w:szCs w:val="16"/>
              </w:rPr>
              <w:t>19.68 (94%)</w:t>
            </w:r>
          </w:p>
        </w:tc>
        <w:tc>
          <w:tcPr>
            <w:tcW w:w="1349" w:type="dxa"/>
            <w:vAlign w:val="center"/>
          </w:tcPr>
          <w:p w14:paraId="3BADF29D" w14:textId="77777777" w:rsidR="00CD2E4C" w:rsidRPr="00B83275" w:rsidRDefault="00CD2E4C" w:rsidP="002B482F">
            <w:pPr>
              <w:spacing w:beforeLines="60" w:before="144"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29.78 (100%)</w:t>
            </w:r>
          </w:p>
        </w:tc>
        <w:tc>
          <w:tcPr>
            <w:tcW w:w="1350" w:type="dxa"/>
            <w:vAlign w:val="center"/>
          </w:tcPr>
          <w:p w14:paraId="1B413E70"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66.67 (14%)</w:t>
            </w:r>
          </w:p>
        </w:tc>
        <w:tc>
          <w:tcPr>
            <w:tcW w:w="1293" w:type="dxa"/>
            <w:vAlign w:val="center"/>
          </w:tcPr>
          <w:p w14:paraId="31051A84"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119.20 (90)</w:t>
            </w:r>
          </w:p>
        </w:tc>
      </w:tr>
      <w:tr w:rsidR="00CD2E4C" w:rsidRPr="00B83275" w14:paraId="01150036" w14:textId="77777777" w:rsidTr="002B482F">
        <w:trPr>
          <w:trHeight w:val="70"/>
        </w:trPr>
        <w:tc>
          <w:tcPr>
            <w:tcW w:w="923" w:type="dxa"/>
            <w:vAlign w:val="center"/>
          </w:tcPr>
          <w:p w14:paraId="7416B050" w14:textId="77777777" w:rsidR="00CD2E4C" w:rsidRPr="00B83275" w:rsidRDefault="00CD2E4C" w:rsidP="002B482F">
            <w:pPr>
              <w:spacing w:beforeLines="60" w:before="144" w:afterLines="60" w:after="144"/>
              <w:jc w:val="center"/>
              <w:rPr>
                <w:rFonts w:ascii="Gill Sans MT" w:hAnsi="Gill Sans MT" w:cs="Arial"/>
                <w:sz w:val="16"/>
                <w:szCs w:val="16"/>
              </w:rPr>
            </w:pPr>
            <w:r w:rsidRPr="00B83275">
              <w:rPr>
                <w:rFonts w:ascii="Gill Sans MT" w:hAnsi="Gill Sans MT"/>
                <w:sz w:val="16"/>
                <w:szCs w:val="16"/>
              </w:rPr>
              <w:t>MI</w:t>
            </w:r>
          </w:p>
        </w:tc>
        <w:tc>
          <w:tcPr>
            <w:tcW w:w="1313" w:type="dxa"/>
            <w:vAlign w:val="center"/>
          </w:tcPr>
          <w:p w14:paraId="2576E852"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5.52 (87%)</w:t>
            </w:r>
          </w:p>
        </w:tc>
        <w:tc>
          <w:tcPr>
            <w:tcW w:w="1530" w:type="dxa"/>
            <w:vAlign w:val="center"/>
          </w:tcPr>
          <w:p w14:paraId="5DBB63FC"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12.90 (98%)</w:t>
            </w:r>
          </w:p>
        </w:tc>
        <w:tc>
          <w:tcPr>
            <w:tcW w:w="1260" w:type="dxa"/>
            <w:vAlign w:val="center"/>
          </w:tcPr>
          <w:p w14:paraId="78F79E59" w14:textId="77777777" w:rsidR="00CD2E4C" w:rsidRPr="00B83275" w:rsidRDefault="00CD2E4C" w:rsidP="002B482F">
            <w:pPr>
              <w:spacing w:beforeLines="60" w:before="144"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6.23 (98%)</w:t>
            </w:r>
          </w:p>
        </w:tc>
        <w:tc>
          <w:tcPr>
            <w:tcW w:w="1440" w:type="dxa"/>
            <w:vAlign w:val="center"/>
          </w:tcPr>
          <w:p w14:paraId="4E82BA70" w14:textId="77777777" w:rsidR="00CD2E4C" w:rsidRPr="00B83275" w:rsidRDefault="00CD2E4C" w:rsidP="002B482F">
            <w:pPr>
              <w:spacing w:beforeLines="60" w:before="144"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18.74 (98%)</w:t>
            </w:r>
          </w:p>
        </w:tc>
        <w:tc>
          <w:tcPr>
            <w:tcW w:w="1530" w:type="dxa"/>
            <w:vAlign w:val="center"/>
          </w:tcPr>
          <w:p w14:paraId="08372924"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8.05 (91%)</w:t>
            </w:r>
          </w:p>
        </w:tc>
        <w:tc>
          <w:tcPr>
            <w:tcW w:w="1350" w:type="dxa"/>
            <w:vAlign w:val="center"/>
          </w:tcPr>
          <w:p w14:paraId="4732045F" w14:textId="77777777" w:rsidR="00CD2E4C" w:rsidRPr="00B83275" w:rsidRDefault="00CD2E4C" w:rsidP="002B482F">
            <w:pPr>
              <w:spacing w:beforeLines="60" w:before="144" w:afterLines="60" w:after="144"/>
              <w:jc w:val="center"/>
              <w:rPr>
                <w:rFonts w:ascii="Gill Sans MT" w:hAnsi="Gill Sans MT" w:cs="Arial"/>
                <w:sz w:val="16"/>
                <w:szCs w:val="16"/>
              </w:rPr>
            </w:pPr>
            <w:r w:rsidRPr="00B83275">
              <w:rPr>
                <w:rFonts w:ascii="Gill Sans MT" w:hAnsi="Gill Sans MT" w:cs="Arial"/>
                <w:sz w:val="16"/>
                <w:szCs w:val="16"/>
              </w:rPr>
              <w:t>19.17 (97%)</w:t>
            </w:r>
          </w:p>
        </w:tc>
        <w:tc>
          <w:tcPr>
            <w:tcW w:w="1349" w:type="dxa"/>
            <w:vAlign w:val="center"/>
          </w:tcPr>
          <w:p w14:paraId="64DE967D" w14:textId="77777777" w:rsidR="00CD2E4C" w:rsidRPr="00B83275" w:rsidRDefault="00CD2E4C" w:rsidP="002B482F">
            <w:pPr>
              <w:spacing w:beforeLines="60" w:before="144"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30.79 (100%)</w:t>
            </w:r>
          </w:p>
        </w:tc>
        <w:tc>
          <w:tcPr>
            <w:tcW w:w="1350" w:type="dxa"/>
            <w:vAlign w:val="center"/>
          </w:tcPr>
          <w:p w14:paraId="4A401B6B"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0.00 (0%)</w:t>
            </w:r>
          </w:p>
        </w:tc>
        <w:tc>
          <w:tcPr>
            <w:tcW w:w="1293" w:type="dxa"/>
            <w:vAlign w:val="center"/>
          </w:tcPr>
          <w:p w14:paraId="1868A1D4"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101.39 (98)</w:t>
            </w:r>
          </w:p>
        </w:tc>
      </w:tr>
      <w:tr w:rsidR="00CD2E4C" w:rsidRPr="00B83275" w14:paraId="1E942F53" w14:textId="77777777" w:rsidTr="002B482F">
        <w:trPr>
          <w:trHeight w:val="70"/>
        </w:trPr>
        <w:tc>
          <w:tcPr>
            <w:tcW w:w="923" w:type="dxa"/>
            <w:vAlign w:val="center"/>
          </w:tcPr>
          <w:p w14:paraId="1DB5C1F4" w14:textId="77777777" w:rsidR="00CD2E4C" w:rsidRPr="00B83275" w:rsidRDefault="00CD2E4C" w:rsidP="002B482F">
            <w:pPr>
              <w:spacing w:beforeLines="60" w:before="144" w:afterLines="60" w:after="144"/>
              <w:jc w:val="center"/>
              <w:rPr>
                <w:rFonts w:ascii="Gill Sans MT" w:hAnsi="Gill Sans MT" w:cs="Arial"/>
                <w:sz w:val="16"/>
                <w:szCs w:val="16"/>
              </w:rPr>
            </w:pPr>
            <w:r w:rsidRPr="00B83275">
              <w:rPr>
                <w:rFonts w:ascii="Gill Sans MT" w:hAnsi="Gill Sans MT"/>
                <w:sz w:val="16"/>
                <w:szCs w:val="16"/>
              </w:rPr>
              <w:t>NJ</w:t>
            </w:r>
          </w:p>
        </w:tc>
        <w:tc>
          <w:tcPr>
            <w:tcW w:w="1313" w:type="dxa"/>
            <w:vAlign w:val="center"/>
          </w:tcPr>
          <w:p w14:paraId="60DE792B"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17.50 (43%)</w:t>
            </w:r>
          </w:p>
        </w:tc>
        <w:tc>
          <w:tcPr>
            <w:tcW w:w="1530" w:type="dxa"/>
            <w:vAlign w:val="center"/>
          </w:tcPr>
          <w:p w14:paraId="51DB4F8F"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17.07 (63%)</w:t>
            </w:r>
          </w:p>
        </w:tc>
        <w:tc>
          <w:tcPr>
            <w:tcW w:w="1260" w:type="dxa"/>
            <w:vAlign w:val="center"/>
          </w:tcPr>
          <w:p w14:paraId="6587F684" w14:textId="77777777" w:rsidR="00CD2E4C" w:rsidRPr="00B83275" w:rsidRDefault="00CD2E4C" w:rsidP="002B482F">
            <w:pPr>
              <w:spacing w:beforeLines="60" w:before="144"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10.00 (100%)</w:t>
            </w:r>
          </w:p>
        </w:tc>
        <w:tc>
          <w:tcPr>
            <w:tcW w:w="1440" w:type="dxa"/>
            <w:vAlign w:val="center"/>
          </w:tcPr>
          <w:p w14:paraId="2C09106E" w14:textId="77777777" w:rsidR="00CD2E4C" w:rsidRPr="00B83275" w:rsidRDefault="00CD2E4C" w:rsidP="002B482F">
            <w:pPr>
              <w:spacing w:beforeLines="60" w:before="144"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25.64 (100%)</w:t>
            </w:r>
          </w:p>
        </w:tc>
        <w:tc>
          <w:tcPr>
            <w:tcW w:w="1530" w:type="dxa"/>
            <w:vAlign w:val="center"/>
          </w:tcPr>
          <w:p w14:paraId="72C803B4"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10.76 (100%)</w:t>
            </w:r>
          </w:p>
        </w:tc>
        <w:tc>
          <w:tcPr>
            <w:tcW w:w="1350" w:type="dxa"/>
            <w:vAlign w:val="center"/>
          </w:tcPr>
          <w:p w14:paraId="7E4315FC" w14:textId="77777777" w:rsidR="00CD2E4C" w:rsidRPr="00B83275" w:rsidRDefault="00CD2E4C" w:rsidP="002B482F">
            <w:pPr>
              <w:spacing w:beforeLines="60" w:before="144" w:afterLines="60" w:after="144"/>
              <w:jc w:val="center"/>
              <w:rPr>
                <w:rFonts w:ascii="Gill Sans MT" w:hAnsi="Gill Sans MT" w:cs="Arial"/>
                <w:sz w:val="16"/>
                <w:szCs w:val="16"/>
              </w:rPr>
            </w:pPr>
            <w:r w:rsidRPr="00B83275">
              <w:rPr>
                <w:rFonts w:ascii="Gill Sans MT" w:hAnsi="Gill Sans MT" w:cs="Arial"/>
                <w:sz w:val="16"/>
                <w:szCs w:val="16"/>
              </w:rPr>
              <w:t>20.64 (100%)</w:t>
            </w:r>
          </w:p>
        </w:tc>
        <w:tc>
          <w:tcPr>
            <w:tcW w:w="1349" w:type="dxa"/>
            <w:vAlign w:val="center"/>
          </w:tcPr>
          <w:p w14:paraId="6EAF5FA7" w14:textId="77777777" w:rsidR="00CD2E4C" w:rsidRPr="00B83275" w:rsidRDefault="00CD2E4C" w:rsidP="002B482F">
            <w:pPr>
              <w:spacing w:beforeLines="60" w:before="144"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29.40 (100%)</w:t>
            </w:r>
          </w:p>
        </w:tc>
        <w:tc>
          <w:tcPr>
            <w:tcW w:w="1350" w:type="dxa"/>
            <w:vAlign w:val="center"/>
          </w:tcPr>
          <w:p w14:paraId="58F5744A"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30.00 (7%)</w:t>
            </w:r>
          </w:p>
        </w:tc>
        <w:tc>
          <w:tcPr>
            <w:tcW w:w="1293" w:type="dxa"/>
            <w:vAlign w:val="center"/>
          </w:tcPr>
          <w:p w14:paraId="5B7B2701"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131.01 (110)</w:t>
            </w:r>
          </w:p>
        </w:tc>
      </w:tr>
      <w:tr w:rsidR="00CD2E4C" w:rsidRPr="00B83275" w14:paraId="485C9427" w14:textId="77777777" w:rsidTr="002B482F">
        <w:trPr>
          <w:trHeight w:val="491"/>
        </w:trPr>
        <w:tc>
          <w:tcPr>
            <w:tcW w:w="923" w:type="dxa"/>
            <w:tcBorders>
              <w:bottom w:val="nil"/>
            </w:tcBorders>
            <w:vAlign w:val="center"/>
          </w:tcPr>
          <w:p w14:paraId="35E85473" w14:textId="77777777" w:rsidR="00CD2E4C" w:rsidRPr="00B83275" w:rsidRDefault="00CD2E4C" w:rsidP="002B482F">
            <w:pPr>
              <w:spacing w:beforeLines="60" w:before="144" w:afterLines="60" w:after="144"/>
              <w:jc w:val="center"/>
              <w:rPr>
                <w:rFonts w:ascii="Gill Sans MT" w:hAnsi="Gill Sans MT" w:cs="Arial"/>
                <w:sz w:val="16"/>
                <w:szCs w:val="16"/>
              </w:rPr>
            </w:pPr>
            <w:r w:rsidRPr="00B83275">
              <w:rPr>
                <w:rFonts w:ascii="Gill Sans MT" w:hAnsi="Gill Sans MT"/>
                <w:sz w:val="16"/>
                <w:szCs w:val="16"/>
              </w:rPr>
              <w:t>NY</w:t>
            </w:r>
          </w:p>
        </w:tc>
        <w:tc>
          <w:tcPr>
            <w:tcW w:w="1313" w:type="dxa"/>
            <w:tcBorders>
              <w:bottom w:val="nil"/>
            </w:tcBorders>
            <w:vAlign w:val="center"/>
          </w:tcPr>
          <w:p w14:paraId="2CFC9CB1"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16.85 (51%)</w:t>
            </w:r>
          </w:p>
        </w:tc>
        <w:tc>
          <w:tcPr>
            <w:tcW w:w="1530" w:type="dxa"/>
            <w:tcBorders>
              <w:bottom w:val="nil"/>
            </w:tcBorders>
            <w:vAlign w:val="center"/>
          </w:tcPr>
          <w:p w14:paraId="7213EEC4"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15.81 (57%)</w:t>
            </w:r>
          </w:p>
        </w:tc>
        <w:tc>
          <w:tcPr>
            <w:tcW w:w="1260" w:type="dxa"/>
            <w:tcBorders>
              <w:bottom w:val="nil"/>
            </w:tcBorders>
            <w:vAlign w:val="center"/>
          </w:tcPr>
          <w:p w14:paraId="01BBC573" w14:textId="77777777" w:rsidR="00CD2E4C" w:rsidRPr="00B83275" w:rsidRDefault="00CD2E4C" w:rsidP="002B482F">
            <w:pPr>
              <w:spacing w:beforeLines="60" w:before="144"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9.04 (100%)</w:t>
            </w:r>
          </w:p>
        </w:tc>
        <w:tc>
          <w:tcPr>
            <w:tcW w:w="1440" w:type="dxa"/>
            <w:tcBorders>
              <w:bottom w:val="nil"/>
            </w:tcBorders>
            <w:vAlign w:val="center"/>
          </w:tcPr>
          <w:p w14:paraId="1B928427" w14:textId="77777777" w:rsidR="00CD2E4C" w:rsidRPr="00B83275" w:rsidRDefault="00CD2E4C" w:rsidP="002B482F">
            <w:pPr>
              <w:spacing w:beforeLines="60" w:before="144"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25.34 (100%)</w:t>
            </w:r>
          </w:p>
        </w:tc>
        <w:tc>
          <w:tcPr>
            <w:tcW w:w="1530" w:type="dxa"/>
            <w:tcBorders>
              <w:bottom w:val="nil"/>
            </w:tcBorders>
            <w:vAlign w:val="center"/>
          </w:tcPr>
          <w:p w14:paraId="5EE48890"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6.00 (97%)</w:t>
            </w:r>
          </w:p>
        </w:tc>
        <w:tc>
          <w:tcPr>
            <w:tcW w:w="1350" w:type="dxa"/>
            <w:tcBorders>
              <w:bottom w:val="nil"/>
            </w:tcBorders>
            <w:vAlign w:val="center"/>
          </w:tcPr>
          <w:p w14:paraId="0057D63B" w14:textId="77777777" w:rsidR="00CD2E4C" w:rsidRPr="00B83275" w:rsidRDefault="00CD2E4C" w:rsidP="002B482F">
            <w:pPr>
              <w:spacing w:beforeLines="60" w:before="144" w:afterLines="60" w:after="144"/>
              <w:jc w:val="center"/>
              <w:rPr>
                <w:rFonts w:ascii="Gill Sans MT" w:hAnsi="Gill Sans MT" w:cs="Arial"/>
                <w:sz w:val="16"/>
                <w:szCs w:val="16"/>
              </w:rPr>
            </w:pPr>
            <w:r w:rsidRPr="00B83275">
              <w:rPr>
                <w:rFonts w:ascii="Gill Sans MT" w:hAnsi="Gill Sans MT" w:cs="Arial"/>
                <w:sz w:val="16"/>
                <w:szCs w:val="16"/>
              </w:rPr>
              <w:t>19.22 (100%)</w:t>
            </w:r>
          </w:p>
        </w:tc>
        <w:tc>
          <w:tcPr>
            <w:tcW w:w="1349" w:type="dxa"/>
            <w:tcBorders>
              <w:bottom w:val="nil"/>
            </w:tcBorders>
            <w:vAlign w:val="center"/>
          </w:tcPr>
          <w:p w14:paraId="44C247B6" w14:textId="77777777" w:rsidR="00CD2E4C" w:rsidRPr="00B83275" w:rsidRDefault="00CD2E4C" w:rsidP="002B482F">
            <w:pPr>
              <w:spacing w:beforeLines="60" w:before="144"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24.19 (98%)</w:t>
            </w:r>
          </w:p>
        </w:tc>
        <w:tc>
          <w:tcPr>
            <w:tcW w:w="1350" w:type="dxa"/>
            <w:tcBorders>
              <w:bottom w:val="nil"/>
            </w:tcBorders>
            <w:vAlign w:val="center"/>
          </w:tcPr>
          <w:p w14:paraId="6C45E662"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23.00 (8%)</w:t>
            </w:r>
          </w:p>
        </w:tc>
        <w:tc>
          <w:tcPr>
            <w:tcW w:w="1293" w:type="dxa"/>
            <w:tcBorders>
              <w:bottom w:val="nil"/>
            </w:tcBorders>
            <w:vAlign w:val="center"/>
          </w:tcPr>
          <w:p w14:paraId="50A440F3" w14:textId="77777777" w:rsidR="00CD2E4C" w:rsidRPr="00B83275" w:rsidRDefault="00CD2E4C" w:rsidP="002B482F">
            <w:pPr>
              <w:keepNext/>
              <w:adjustRightInd w:val="0"/>
              <w:spacing w:beforeLines="60" w:before="144" w:afterLines="60" w:after="144"/>
              <w:jc w:val="center"/>
              <w:rPr>
                <w:rFonts w:ascii="Gill Sans MT" w:hAnsi="Gill Sans MT"/>
                <w:color w:val="000000"/>
                <w:sz w:val="16"/>
                <w:szCs w:val="16"/>
              </w:rPr>
            </w:pPr>
            <w:r w:rsidRPr="00B83275">
              <w:rPr>
                <w:rFonts w:ascii="Gill Sans MT" w:hAnsi="Gill Sans MT"/>
                <w:color w:val="000000"/>
                <w:sz w:val="16"/>
                <w:szCs w:val="16"/>
              </w:rPr>
              <w:t>116.46 (86)</w:t>
            </w:r>
          </w:p>
        </w:tc>
      </w:tr>
      <w:tr w:rsidR="00CD2E4C" w:rsidRPr="00B83275" w14:paraId="6AC30957" w14:textId="77777777" w:rsidTr="002B482F">
        <w:trPr>
          <w:trHeight w:val="80"/>
        </w:trPr>
        <w:tc>
          <w:tcPr>
            <w:tcW w:w="923" w:type="dxa"/>
            <w:tcBorders>
              <w:top w:val="nil"/>
            </w:tcBorders>
            <w:vAlign w:val="center"/>
          </w:tcPr>
          <w:p w14:paraId="22AC68E6" w14:textId="77777777" w:rsidR="00CD2E4C" w:rsidRPr="00B83275" w:rsidRDefault="00CD2E4C" w:rsidP="0065136A">
            <w:pPr>
              <w:spacing w:afterLines="60" w:after="144"/>
              <w:jc w:val="center"/>
              <w:rPr>
                <w:rFonts w:ascii="Gill Sans MT" w:hAnsi="Gill Sans MT"/>
                <w:sz w:val="16"/>
                <w:szCs w:val="16"/>
              </w:rPr>
            </w:pPr>
            <w:r w:rsidRPr="00B83275">
              <w:rPr>
                <w:rFonts w:ascii="Gill Sans MT" w:hAnsi="Gill Sans MT"/>
                <w:sz w:val="16"/>
                <w:szCs w:val="16"/>
              </w:rPr>
              <w:t>NY</w:t>
            </w:r>
          </w:p>
        </w:tc>
        <w:tc>
          <w:tcPr>
            <w:tcW w:w="1313" w:type="dxa"/>
            <w:tcBorders>
              <w:top w:val="nil"/>
            </w:tcBorders>
            <w:vAlign w:val="center"/>
          </w:tcPr>
          <w:p w14:paraId="4B40F308" w14:textId="77777777" w:rsidR="00CD2E4C" w:rsidRPr="00B83275" w:rsidRDefault="00CD2E4C" w:rsidP="0065136A">
            <w:pPr>
              <w:keepNext/>
              <w:adjustRightInd w:val="0"/>
              <w:spacing w:afterLines="60" w:after="144"/>
              <w:jc w:val="center"/>
              <w:rPr>
                <w:rFonts w:ascii="Gill Sans MT" w:hAnsi="Gill Sans MT"/>
                <w:color w:val="000000"/>
                <w:sz w:val="16"/>
                <w:szCs w:val="16"/>
              </w:rPr>
            </w:pPr>
            <w:r w:rsidRPr="00B83275">
              <w:rPr>
                <w:rFonts w:ascii="Gill Sans MT" w:hAnsi="Gill Sans MT"/>
                <w:color w:val="000000"/>
                <w:sz w:val="16"/>
                <w:szCs w:val="16"/>
              </w:rPr>
              <w:t>7.29 (100%)</w:t>
            </w:r>
          </w:p>
        </w:tc>
        <w:tc>
          <w:tcPr>
            <w:tcW w:w="1530" w:type="dxa"/>
            <w:tcBorders>
              <w:top w:val="nil"/>
            </w:tcBorders>
            <w:vAlign w:val="center"/>
          </w:tcPr>
          <w:p w14:paraId="15B84B95" w14:textId="77777777" w:rsidR="00CD2E4C" w:rsidRPr="00B83275" w:rsidRDefault="00CD2E4C" w:rsidP="0065136A">
            <w:pPr>
              <w:keepNext/>
              <w:adjustRightInd w:val="0"/>
              <w:spacing w:afterLines="60" w:after="144"/>
              <w:jc w:val="center"/>
              <w:rPr>
                <w:rFonts w:ascii="Gill Sans MT" w:hAnsi="Gill Sans MT"/>
                <w:color w:val="000000"/>
                <w:sz w:val="16"/>
                <w:szCs w:val="16"/>
              </w:rPr>
            </w:pPr>
            <w:r w:rsidRPr="00B83275">
              <w:rPr>
                <w:rFonts w:ascii="Gill Sans MT" w:hAnsi="Gill Sans MT"/>
                <w:color w:val="000000"/>
                <w:sz w:val="16"/>
                <w:szCs w:val="16"/>
              </w:rPr>
              <w:t>18.67 (100%)</w:t>
            </w:r>
          </w:p>
        </w:tc>
        <w:tc>
          <w:tcPr>
            <w:tcW w:w="1260" w:type="dxa"/>
            <w:tcBorders>
              <w:top w:val="nil"/>
            </w:tcBorders>
            <w:vAlign w:val="center"/>
          </w:tcPr>
          <w:p w14:paraId="5A384627" w14:textId="77777777" w:rsidR="00CD2E4C" w:rsidRPr="00B83275" w:rsidRDefault="00CD2E4C" w:rsidP="0065136A">
            <w:pPr>
              <w:spacing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10.00 (100%)</w:t>
            </w:r>
          </w:p>
        </w:tc>
        <w:tc>
          <w:tcPr>
            <w:tcW w:w="1440" w:type="dxa"/>
            <w:tcBorders>
              <w:top w:val="nil"/>
            </w:tcBorders>
            <w:vAlign w:val="center"/>
          </w:tcPr>
          <w:p w14:paraId="3BE83AC2" w14:textId="77777777" w:rsidR="00CD2E4C" w:rsidRPr="00B83275" w:rsidRDefault="00CD2E4C" w:rsidP="0065136A">
            <w:pPr>
              <w:spacing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28.13 (100%)</w:t>
            </w:r>
          </w:p>
        </w:tc>
        <w:tc>
          <w:tcPr>
            <w:tcW w:w="1530" w:type="dxa"/>
            <w:tcBorders>
              <w:top w:val="nil"/>
            </w:tcBorders>
            <w:vAlign w:val="center"/>
          </w:tcPr>
          <w:p w14:paraId="5722F03A" w14:textId="77777777" w:rsidR="00CD2E4C" w:rsidRPr="00B83275" w:rsidRDefault="00CD2E4C" w:rsidP="0065136A">
            <w:pPr>
              <w:keepNext/>
              <w:adjustRightInd w:val="0"/>
              <w:spacing w:afterLines="60" w:after="144"/>
              <w:jc w:val="center"/>
              <w:rPr>
                <w:rFonts w:ascii="Gill Sans MT" w:hAnsi="Gill Sans MT"/>
                <w:color w:val="000000"/>
                <w:sz w:val="16"/>
                <w:szCs w:val="16"/>
              </w:rPr>
            </w:pPr>
            <w:r w:rsidRPr="00B83275">
              <w:rPr>
                <w:rFonts w:ascii="Gill Sans MT" w:hAnsi="Gill Sans MT"/>
                <w:color w:val="000000"/>
                <w:sz w:val="16"/>
                <w:szCs w:val="16"/>
              </w:rPr>
              <w:t>13.07 (100%)</w:t>
            </w:r>
          </w:p>
        </w:tc>
        <w:tc>
          <w:tcPr>
            <w:tcW w:w="1350" w:type="dxa"/>
            <w:tcBorders>
              <w:top w:val="nil"/>
            </w:tcBorders>
            <w:vAlign w:val="center"/>
          </w:tcPr>
          <w:p w14:paraId="7266D368" w14:textId="77777777" w:rsidR="00CD2E4C" w:rsidRPr="00B83275" w:rsidRDefault="00CD2E4C" w:rsidP="0065136A">
            <w:pPr>
              <w:spacing w:afterLines="60" w:after="144"/>
              <w:jc w:val="center"/>
              <w:rPr>
                <w:rFonts w:ascii="Gill Sans MT" w:hAnsi="Gill Sans MT" w:cs="Arial"/>
                <w:sz w:val="16"/>
                <w:szCs w:val="16"/>
              </w:rPr>
            </w:pPr>
            <w:r w:rsidRPr="00B83275">
              <w:rPr>
                <w:rFonts w:ascii="Gill Sans MT" w:hAnsi="Gill Sans MT" w:cs="Arial"/>
                <w:sz w:val="16"/>
                <w:szCs w:val="16"/>
              </w:rPr>
              <w:t>16.43 (100%)</w:t>
            </w:r>
          </w:p>
        </w:tc>
        <w:tc>
          <w:tcPr>
            <w:tcW w:w="1349" w:type="dxa"/>
            <w:tcBorders>
              <w:top w:val="nil"/>
            </w:tcBorders>
            <w:vAlign w:val="center"/>
          </w:tcPr>
          <w:p w14:paraId="6DC94406" w14:textId="77777777" w:rsidR="00CD2E4C" w:rsidRPr="00B83275" w:rsidRDefault="00CD2E4C" w:rsidP="0065136A">
            <w:pPr>
              <w:spacing w:afterLines="60" w:after="144"/>
              <w:jc w:val="center"/>
              <w:rPr>
                <w:rFonts w:ascii="Gill Sans MT" w:hAnsi="Gill Sans MT" w:cs="Calibri"/>
                <w:color w:val="000000"/>
                <w:sz w:val="16"/>
                <w:szCs w:val="16"/>
              </w:rPr>
            </w:pPr>
            <w:r w:rsidRPr="00B83275">
              <w:rPr>
                <w:rFonts w:ascii="Gill Sans MT" w:hAnsi="Gill Sans MT" w:cs="Calibri"/>
                <w:color w:val="000000"/>
                <w:sz w:val="16"/>
                <w:szCs w:val="16"/>
              </w:rPr>
              <w:t>24.64 (100%)</w:t>
            </w:r>
          </w:p>
        </w:tc>
        <w:tc>
          <w:tcPr>
            <w:tcW w:w="1350" w:type="dxa"/>
            <w:tcBorders>
              <w:top w:val="nil"/>
            </w:tcBorders>
            <w:vAlign w:val="center"/>
          </w:tcPr>
          <w:p w14:paraId="5D439523" w14:textId="77777777" w:rsidR="00CD2E4C" w:rsidRPr="00B83275" w:rsidRDefault="00CD2E4C" w:rsidP="0065136A">
            <w:pPr>
              <w:keepNext/>
              <w:adjustRightInd w:val="0"/>
              <w:spacing w:afterLines="60" w:after="144"/>
              <w:jc w:val="center"/>
              <w:rPr>
                <w:rFonts w:ascii="Gill Sans MT" w:hAnsi="Gill Sans MT"/>
                <w:color w:val="000000"/>
                <w:sz w:val="16"/>
                <w:szCs w:val="16"/>
              </w:rPr>
            </w:pPr>
            <w:r w:rsidRPr="00B83275">
              <w:rPr>
                <w:rFonts w:ascii="Gill Sans MT" w:hAnsi="Gill Sans MT"/>
                <w:color w:val="000000"/>
                <w:sz w:val="16"/>
                <w:szCs w:val="16"/>
              </w:rPr>
              <w:t>10.00 (7%)</w:t>
            </w:r>
          </w:p>
        </w:tc>
        <w:tc>
          <w:tcPr>
            <w:tcW w:w="1293" w:type="dxa"/>
            <w:tcBorders>
              <w:top w:val="nil"/>
            </w:tcBorders>
            <w:vAlign w:val="center"/>
          </w:tcPr>
          <w:p w14:paraId="04BD3C68" w14:textId="77777777" w:rsidR="00CD2E4C" w:rsidRPr="00B83275" w:rsidRDefault="00CD2E4C" w:rsidP="0065136A">
            <w:pPr>
              <w:keepNext/>
              <w:adjustRightInd w:val="0"/>
              <w:spacing w:afterLines="60" w:after="144"/>
              <w:jc w:val="center"/>
              <w:rPr>
                <w:rFonts w:ascii="Gill Sans MT" w:hAnsi="Gill Sans MT"/>
                <w:color w:val="000000"/>
                <w:sz w:val="16"/>
                <w:szCs w:val="16"/>
              </w:rPr>
            </w:pPr>
            <w:r w:rsidRPr="00B83275">
              <w:rPr>
                <w:rFonts w:ascii="Gill Sans MT" w:hAnsi="Gill Sans MT"/>
                <w:color w:val="000000"/>
                <w:sz w:val="16"/>
                <w:szCs w:val="16"/>
              </w:rPr>
              <w:t>118.22 (86)</w:t>
            </w:r>
          </w:p>
        </w:tc>
      </w:tr>
    </w:tbl>
    <w:p w14:paraId="574A4B36" w14:textId="77777777" w:rsidR="00CD2E4C" w:rsidRDefault="00CD2E4C" w:rsidP="00CD2E4C">
      <w:pPr>
        <w:jc w:val="both"/>
        <w:rPr>
          <w:color w:val="000000"/>
        </w:rPr>
      </w:pPr>
    </w:p>
    <w:p w14:paraId="58343314" w14:textId="77777777" w:rsidR="00CD2E4C" w:rsidRDefault="00CD2E4C" w:rsidP="00CD2E4C">
      <w:pPr>
        <w:jc w:val="both"/>
        <w:rPr>
          <w:color w:val="000000"/>
        </w:rPr>
      </w:pPr>
    </w:p>
    <w:p w14:paraId="659865A6" w14:textId="77777777" w:rsidR="00CD2E4C" w:rsidRDefault="00CD2E4C" w:rsidP="00CD2E4C">
      <w:pPr>
        <w:jc w:val="both"/>
        <w:rPr>
          <w:color w:val="000000"/>
        </w:rPr>
      </w:pPr>
    </w:p>
    <w:p w14:paraId="228073EA" w14:textId="77777777" w:rsidR="00CD2E4C" w:rsidRDefault="00CD2E4C" w:rsidP="00CD2E4C">
      <w:pPr>
        <w:jc w:val="both"/>
        <w:rPr>
          <w:color w:val="000000"/>
        </w:rPr>
      </w:pPr>
    </w:p>
    <w:p w14:paraId="34EB8CFC" w14:textId="77777777" w:rsidR="00CD2E4C" w:rsidRDefault="00CD2E4C" w:rsidP="00CD2E4C">
      <w:pPr>
        <w:jc w:val="both"/>
        <w:rPr>
          <w:color w:val="000000"/>
        </w:rPr>
      </w:pPr>
    </w:p>
    <w:p w14:paraId="4B8C6322" w14:textId="77777777" w:rsidR="00CD2E4C" w:rsidRDefault="00CD2E4C" w:rsidP="00CD2E4C">
      <w:pPr>
        <w:jc w:val="both"/>
        <w:rPr>
          <w:color w:val="000000"/>
        </w:rPr>
      </w:pPr>
    </w:p>
    <w:p w14:paraId="63C3E30B" w14:textId="77777777" w:rsidR="00CD2E4C" w:rsidRDefault="00CD2E4C" w:rsidP="00CD2E4C">
      <w:pPr>
        <w:jc w:val="both"/>
        <w:rPr>
          <w:color w:val="000000"/>
        </w:rPr>
      </w:pPr>
    </w:p>
    <w:p w14:paraId="6CEA1913" w14:textId="77777777" w:rsidR="00CD2E4C" w:rsidRDefault="00CD2E4C" w:rsidP="00CD2E4C">
      <w:pPr>
        <w:jc w:val="both"/>
        <w:rPr>
          <w:color w:val="000000"/>
        </w:rPr>
      </w:pPr>
    </w:p>
    <w:p w14:paraId="6BD0E64F" w14:textId="77777777" w:rsidR="00CD2E4C" w:rsidRDefault="00CD2E4C" w:rsidP="00CD2E4C">
      <w:pPr>
        <w:jc w:val="both"/>
        <w:rPr>
          <w:color w:val="000000"/>
        </w:rPr>
      </w:pPr>
    </w:p>
    <w:p w14:paraId="48206101" w14:textId="77777777" w:rsidR="00CD2E4C" w:rsidRDefault="00CD2E4C" w:rsidP="00CD2E4C">
      <w:pPr>
        <w:jc w:val="both"/>
        <w:rPr>
          <w:color w:val="000000"/>
        </w:rPr>
      </w:pPr>
    </w:p>
    <w:p w14:paraId="1D364A64" w14:textId="77777777" w:rsidR="00CD2E4C" w:rsidRDefault="00CD2E4C" w:rsidP="00CD2E4C">
      <w:pPr>
        <w:jc w:val="both"/>
        <w:rPr>
          <w:color w:val="000000"/>
        </w:rPr>
      </w:pPr>
    </w:p>
    <w:p w14:paraId="46D0AECD" w14:textId="77777777" w:rsidR="00CD2E4C" w:rsidRDefault="00CD2E4C" w:rsidP="00CD2E4C">
      <w:pPr>
        <w:jc w:val="both"/>
        <w:rPr>
          <w:color w:val="000000"/>
        </w:rPr>
      </w:pPr>
    </w:p>
    <w:p w14:paraId="4ECECB75" w14:textId="77777777" w:rsidR="00CD2E4C" w:rsidRDefault="00CD2E4C" w:rsidP="00CD2E4C">
      <w:pPr>
        <w:jc w:val="both"/>
        <w:rPr>
          <w:color w:val="000000"/>
        </w:rPr>
      </w:pPr>
    </w:p>
    <w:p w14:paraId="6E60314D" w14:textId="77777777" w:rsidR="00CD2E4C" w:rsidRDefault="00CD2E4C" w:rsidP="00CD2E4C">
      <w:pPr>
        <w:jc w:val="both"/>
        <w:rPr>
          <w:color w:val="000000"/>
        </w:rPr>
      </w:pPr>
    </w:p>
    <w:p w14:paraId="7B504317" w14:textId="77777777" w:rsidR="00CD2E4C" w:rsidRDefault="00CD2E4C" w:rsidP="00CD2E4C">
      <w:pPr>
        <w:jc w:val="both"/>
        <w:rPr>
          <w:color w:val="000000"/>
        </w:rPr>
      </w:pPr>
    </w:p>
    <w:p w14:paraId="512ACDC1" w14:textId="77777777" w:rsidR="00CD2E4C" w:rsidRDefault="00CD2E4C" w:rsidP="00CD2E4C">
      <w:pPr>
        <w:jc w:val="both"/>
        <w:rPr>
          <w:color w:val="000000"/>
        </w:rPr>
      </w:pPr>
    </w:p>
    <w:p w14:paraId="72243D73" w14:textId="77777777" w:rsidR="00CD2E4C" w:rsidRDefault="00CD2E4C" w:rsidP="00CD2E4C">
      <w:pPr>
        <w:jc w:val="both"/>
        <w:rPr>
          <w:color w:val="000000"/>
        </w:rPr>
      </w:pPr>
    </w:p>
    <w:p w14:paraId="73566AE5" w14:textId="77777777" w:rsidR="00CD2E4C" w:rsidRDefault="00CD2E4C" w:rsidP="00CD2E4C">
      <w:pPr>
        <w:jc w:val="both"/>
        <w:rPr>
          <w:color w:val="000000"/>
        </w:rPr>
      </w:pPr>
    </w:p>
    <w:tbl>
      <w:tblPr>
        <w:tblpPr w:leftFromText="180" w:rightFromText="180" w:vertAnchor="text" w:horzAnchor="margin" w:tblpY="116"/>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1313"/>
        <w:gridCol w:w="1530"/>
        <w:gridCol w:w="1260"/>
        <w:gridCol w:w="1440"/>
        <w:gridCol w:w="1530"/>
        <w:gridCol w:w="1350"/>
        <w:gridCol w:w="1349"/>
        <w:gridCol w:w="1350"/>
        <w:gridCol w:w="1293"/>
      </w:tblGrid>
      <w:tr w:rsidR="00CD2E4C" w:rsidRPr="00B83275" w14:paraId="733C9220" w14:textId="77777777" w:rsidTr="002B482F">
        <w:trPr>
          <w:trHeight w:val="70"/>
        </w:trPr>
        <w:tc>
          <w:tcPr>
            <w:tcW w:w="13338" w:type="dxa"/>
            <w:gridSpan w:val="10"/>
            <w:shd w:val="clear" w:color="auto" w:fill="0070C0"/>
          </w:tcPr>
          <w:p w14:paraId="554FD8CA" w14:textId="77777777" w:rsidR="00CD2E4C" w:rsidRPr="00B83275" w:rsidRDefault="00CD2E4C" w:rsidP="002B482F">
            <w:pPr>
              <w:spacing w:before="60" w:after="60"/>
              <w:rPr>
                <w:rFonts w:ascii="Gill Sans MT" w:hAnsi="Gill Sans MT"/>
                <w:sz w:val="16"/>
                <w:szCs w:val="16"/>
              </w:rPr>
            </w:pPr>
            <w:r w:rsidRPr="00B83275">
              <w:rPr>
                <w:sz w:val="22"/>
                <w:szCs w:val="22"/>
              </w:rPr>
              <w:br w:type="page"/>
            </w:r>
            <w:r w:rsidRPr="00B83275">
              <w:rPr>
                <w:rFonts w:ascii="Gill Sans MT" w:hAnsi="Gill Sans MT"/>
                <w:color w:val="FFFF99"/>
              </w:rPr>
              <w:t xml:space="preserve">                                                   </w:t>
            </w:r>
            <w:r>
              <w:rPr>
                <w:rFonts w:ascii="Gill Sans MT" w:hAnsi="Gill Sans MT"/>
                <w:color w:val="FFFF99"/>
              </w:rPr>
              <w:t xml:space="preserve">              2014-15 iLit </w:t>
            </w:r>
            <w:r w:rsidRPr="00B83275">
              <w:rPr>
                <w:rFonts w:ascii="Gill Sans MT" w:hAnsi="Gill Sans MT"/>
                <w:color w:val="FFFF99"/>
              </w:rPr>
              <w:t>Program Component Usage</w:t>
            </w:r>
          </w:p>
        </w:tc>
      </w:tr>
      <w:tr w:rsidR="00CD2E4C" w:rsidRPr="00B83275" w14:paraId="2C4F3B33" w14:textId="77777777" w:rsidTr="002B482F">
        <w:trPr>
          <w:trHeight w:val="288"/>
        </w:trPr>
        <w:tc>
          <w:tcPr>
            <w:tcW w:w="923" w:type="dxa"/>
            <w:shd w:val="clear" w:color="auto" w:fill="CCCCCC"/>
            <w:vAlign w:val="center"/>
          </w:tcPr>
          <w:p w14:paraId="75BEC02C" w14:textId="77777777" w:rsidR="00CD2E4C" w:rsidRPr="00260B76" w:rsidRDefault="00CD2E4C" w:rsidP="002B482F">
            <w:pPr>
              <w:spacing w:before="25" w:after="25"/>
              <w:jc w:val="center"/>
              <w:rPr>
                <w:rFonts w:ascii="Gill Sans MT" w:hAnsi="Gill Sans MT"/>
                <w:sz w:val="16"/>
                <w:szCs w:val="16"/>
              </w:rPr>
            </w:pPr>
            <w:r w:rsidRPr="00260B76">
              <w:rPr>
                <w:rFonts w:ascii="Gill Sans MT" w:hAnsi="Gill Sans MT"/>
                <w:sz w:val="16"/>
                <w:szCs w:val="16"/>
              </w:rPr>
              <w:t>Study Site</w:t>
            </w:r>
          </w:p>
        </w:tc>
        <w:tc>
          <w:tcPr>
            <w:tcW w:w="1313" w:type="dxa"/>
            <w:shd w:val="clear" w:color="auto" w:fill="CCCCCC"/>
            <w:vAlign w:val="center"/>
          </w:tcPr>
          <w:p w14:paraId="31DF3D37" w14:textId="77777777" w:rsidR="00CD2E4C" w:rsidRPr="00260B76" w:rsidRDefault="00CD2E4C" w:rsidP="002B482F">
            <w:pPr>
              <w:spacing w:before="25" w:after="25"/>
              <w:jc w:val="center"/>
              <w:rPr>
                <w:rFonts w:ascii="Gill Sans MT" w:hAnsi="Gill Sans MT"/>
                <w:sz w:val="16"/>
                <w:szCs w:val="16"/>
              </w:rPr>
            </w:pPr>
            <w:r w:rsidRPr="00260B76">
              <w:rPr>
                <w:rFonts w:ascii="Gill Sans MT" w:hAnsi="Gill Sans MT"/>
                <w:sz w:val="16"/>
                <w:szCs w:val="16"/>
              </w:rPr>
              <w:t>Time To Read Journals (15)</w:t>
            </w:r>
            <w:r w:rsidRPr="00260B76">
              <w:rPr>
                <w:rFonts w:ascii="Gill Sans MT" w:hAnsi="Gill Sans MT"/>
                <w:sz w:val="16"/>
                <w:szCs w:val="16"/>
                <w:vertAlign w:val="superscript"/>
              </w:rPr>
              <w:t>1</w:t>
            </w:r>
          </w:p>
        </w:tc>
        <w:tc>
          <w:tcPr>
            <w:tcW w:w="1530" w:type="dxa"/>
            <w:shd w:val="clear" w:color="auto" w:fill="CCCCCC"/>
            <w:vAlign w:val="center"/>
          </w:tcPr>
          <w:p w14:paraId="5C3C29BD" w14:textId="77777777" w:rsidR="00CD2E4C" w:rsidRPr="00260B76" w:rsidRDefault="00CD2E4C" w:rsidP="002B482F">
            <w:pPr>
              <w:spacing w:before="25" w:after="25"/>
              <w:jc w:val="center"/>
              <w:rPr>
                <w:rFonts w:ascii="Gill Sans MT" w:hAnsi="Gill Sans MT"/>
                <w:sz w:val="16"/>
                <w:szCs w:val="16"/>
              </w:rPr>
            </w:pPr>
            <w:r w:rsidRPr="00260B76">
              <w:rPr>
                <w:rFonts w:ascii="Gill Sans MT" w:hAnsi="Gill Sans MT"/>
                <w:sz w:val="16"/>
                <w:szCs w:val="16"/>
              </w:rPr>
              <w:t>Time To Read Conferencing (15)</w:t>
            </w:r>
          </w:p>
        </w:tc>
        <w:tc>
          <w:tcPr>
            <w:tcW w:w="1260" w:type="dxa"/>
            <w:shd w:val="clear" w:color="auto" w:fill="CCCCCC"/>
            <w:vAlign w:val="center"/>
          </w:tcPr>
          <w:p w14:paraId="0B1A31CC" w14:textId="77777777" w:rsidR="00CD2E4C" w:rsidRPr="00260B76" w:rsidRDefault="00CD2E4C" w:rsidP="002B482F">
            <w:pPr>
              <w:spacing w:before="25" w:after="25"/>
              <w:jc w:val="center"/>
              <w:rPr>
                <w:rFonts w:ascii="Gill Sans MT" w:hAnsi="Gill Sans MT"/>
                <w:sz w:val="16"/>
                <w:szCs w:val="16"/>
              </w:rPr>
            </w:pPr>
            <w:r w:rsidRPr="00260B76">
              <w:rPr>
                <w:rFonts w:ascii="Gill Sans MT" w:hAnsi="Gill Sans MT"/>
                <w:sz w:val="16"/>
                <w:szCs w:val="16"/>
              </w:rPr>
              <w:t>Vocabulary (5)</w:t>
            </w:r>
          </w:p>
        </w:tc>
        <w:tc>
          <w:tcPr>
            <w:tcW w:w="1440" w:type="dxa"/>
            <w:shd w:val="clear" w:color="auto" w:fill="CCCCCC"/>
            <w:vAlign w:val="center"/>
          </w:tcPr>
          <w:p w14:paraId="06F51570" w14:textId="77777777" w:rsidR="00CD2E4C" w:rsidRPr="00260B76" w:rsidRDefault="00CD2E4C" w:rsidP="002B482F">
            <w:pPr>
              <w:spacing w:before="25" w:after="25"/>
              <w:jc w:val="center"/>
              <w:rPr>
                <w:rFonts w:ascii="Gill Sans MT" w:hAnsi="Gill Sans MT"/>
                <w:sz w:val="16"/>
                <w:szCs w:val="16"/>
              </w:rPr>
            </w:pPr>
            <w:r w:rsidRPr="00260B76">
              <w:rPr>
                <w:rFonts w:ascii="Gill Sans MT" w:hAnsi="Gill Sans MT"/>
                <w:sz w:val="16"/>
                <w:szCs w:val="16"/>
              </w:rPr>
              <w:t>Read Aloud, Think Aloud (15)</w:t>
            </w:r>
          </w:p>
        </w:tc>
        <w:tc>
          <w:tcPr>
            <w:tcW w:w="1530" w:type="dxa"/>
            <w:shd w:val="clear" w:color="auto" w:fill="CCCCCC"/>
            <w:vAlign w:val="center"/>
          </w:tcPr>
          <w:p w14:paraId="03441141" w14:textId="77777777" w:rsidR="00CD2E4C" w:rsidRPr="00260B76" w:rsidRDefault="00CD2E4C" w:rsidP="002B482F">
            <w:pPr>
              <w:spacing w:before="25" w:after="25"/>
              <w:jc w:val="center"/>
              <w:rPr>
                <w:rFonts w:ascii="Gill Sans MT" w:hAnsi="Gill Sans MT"/>
                <w:sz w:val="16"/>
                <w:szCs w:val="16"/>
              </w:rPr>
            </w:pPr>
            <w:r w:rsidRPr="00260B76">
              <w:rPr>
                <w:rFonts w:ascii="Gill Sans MT" w:hAnsi="Gill Sans MT"/>
                <w:sz w:val="16"/>
                <w:szCs w:val="16"/>
              </w:rPr>
              <w:t>Classroom Conversation (10)</w:t>
            </w:r>
          </w:p>
        </w:tc>
        <w:tc>
          <w:tcPr>
            <w:tcW w:w="1350" w:type="dxa"/>
            <w:shd w:val="clear" w:color="auto" w:fill="CCCCCC"/>
            <w:vAlign w:val="center"/>
          </w:tcPr>
          <w:p w14:paraId="65569A7E" w14:textId="77777777" w:rsidR="00CD2E4C" w:rsidRPr="00260B76" w:rsidRDefault="00CD2E4C" w:rsidP="002B482F">
            <w:pPr>
              <w:spacing w:before="25" w:after="25"/>
              <w:jc w:val="center"/>
              <w:rPr>
                <w:rFonts w:ascii="Gill Sans MT" w:hAnsi="Gill Sans MT"/>
                <w:sz w:val="16"/>
                <w:szCs w:val="16"/>
              </w:rPr>
            </w:pPr>
            <w:r w:rsidRPr="00260B76">
              <w:rPr>
                <w:rFonts w:ascii="Gill Sans MT" w:hAnsi="Gill Sans MT"/>
                <w:sz w:val="16"/>
                <w:szCs w:val="16"/>
              </w:rPr>
              <w:t>Whole Group Instruction (15)</w:t>
            </w:r>
          </w:p>
        </w:tc>
        <w:tc>
          <w:tcPr>
            <w:tcW w:w="1349" w:type="dxa"/>
            <w:shd w:val="clear" w:color="auto" w:fill="CCCCCC"/>
            <w:vAlign w:val="center"/>
          </w:tcPr>
          <w:p w14:paraId="4671B03D" w14:textId="77777777" w:rsidR="00CD2E4C" w:rsidRPr="00260B76" w:rsidRDefault="00CD2E4C" w:rsidP="002B482F">
            <w:pPr>
              <w:spacing w:before="25" w:after="25"/>
              <w:jc w:val="center"/>
              <w:rPr>
                <w:rFonts w:ascii="Gill Sans MT" w:hAnsi="Gill Sans MT"/>
                <w:sz w:val="16"/>
                <w:szCs w:val="16"/>
              </w:rPr>
            </w:pPr>
            <w:r w:rsidRPr="00260B76">
              <w:rPr>
                <w:rFonts w:ascii="Gill Sans MT" w:hAnsi="Gill Sans MT"/>
                <w:sz w:val="16"/>
                <w:szCs w:val="16"/>
              </w:rPr>
              <w:t>Work Time (30)</w:t>
            </w:r>
          </w:p>
        </w:tc>
        <w:tc>
          <w:tcPr>
            <w:tcW w:w="1350" w:type="dxa"/>
            <w:shd w:val="clear" w:color="auto" w:fill="CCCCCC"/>
            <w:vAlign w:val="center"/>
          </w:tcPr>
          <w:p w14:paraId="1282E430" w14:textId="77777777" w:rsidR="00CD2E4C" w:rsidRPr="00260B76" w:rsidRDefault="00CD2E4C" w:rsidP="002B482F">
            <w:pPr>
              <w:spacing w:before="25" w:after="25"/>
              <w:jc w:val="center"/>
              <w:rPr>
                <w:rFonts w:ascii="Gill Sans MT" w:hAnsi="Gill Sans MT"/>
                <w:sz w:val="16"/>
                <w:szCs w:val="16"/>
              </w:rPr>
            </w:pPr>
            <w:r w:rsidRPr="00260B76">
              <w:rPr>
                <w:rFonts w:ascii="Gill Sans MT" w:hAnsi="Gill Sans MT"/>
                <w:sz w:val="16"/>
                <w:szCs w:val="16"/>
              </w:rPr>
              <w:t>End of Unit Performance</w:t>
            </w:r>
          </w:p>
        </w:tc>
        <w:tc>
          <w:tcPr>
            <w:tcW w:w="1293" w:type="dxa"/>
            <w:tcBorders>
              <w:top w:val="nil"/>
            </w:tcBorders>
            <w:shd w:val="clear" w:color="auto" w:fill="CCCCCC"/>
            <w:vAlign w:val="center"/>
          </w:tcPr>
          <w:p w14:paraId="4278B89D" w14:textId="77777777" w:rsidR="00CD2E4C" w:rsidRPr="00260B76" w:rsidRDefault="00CD2E4C" w:rsidP="002B482F">
            <w:pPr>
              <w:spacing w:before="25" w:after="25"/>
              <w:rPr>
                <w:rFonts w:ascii="Gill Sans MT" w:hAnsi="Gill Sans MT"/>
                <w:sz w:val="16"/>
                <w:szCs w:val="16"/>
              </w:rPr>
            </w:pPr>
            <w:r w:rsidRPr="00260B76">
              <w:rPr>
                <w:rFonts w:ascii="Gill Sans MT" w:hAnsi="Gill Sans MT"/>
                <w:sz w:val="16"/>
                <w:szCs w:val="16"/>
              </w:rPr>
              <w:t>iLit Total (90)</w:t>
            </w:r>
          </w:p>
        </w:tc>
      </w:tr>
      <w:tr w:rsidR="00CD2E4C" w:rsidRPr="000F5D0D" w14:paraId="5F30246E" w14:textId="77777777" w:rsidTr="002B482F">
        <w:tc>
          <w:tcPr>
            <w:tcW w:w="923" w:type="dxa"/>
            <w:vAlign w:val="center"/>
          </w:tcPr>
          <w:p w14:paraId="769ED709" w14:textId="77777777" w:rsidR="00CD2E4C" w:rsidRPr="00AF7CD9" w:rsidRDefault="00CD2E4C" w:rsidP="002B482F">
            <w:pPr>
              <w:spacing w:beforeLines="60" w:before="144" w:afterLines="60" w:after="144"/>
              <w:jc w:val="center"/>
              <w:rPr>
                <w:rFonts w:ascii="Gill Sans MT" w:hAnsi="Gill Sans MT"/>
                <w:sz w:val="16"/>
                <w:szCs w:val="16"/>
              </w:rPr>
            </w:pPr>
            <w:r w:rsidRPr="00AF7CD9">
              <w:rPr>
                <w:rFonts w:ascii="Gill Sans MT" w:hAnsi="Gill Sans MT"/>
                <w:sz w:val="16"/>
                <w:szCs w:val="16"/>
              </w:rPr>
              <w:t>Average</w:t>
            </w:r>
          </w:p>
        </w:tc>
        <w:tc>
          <w:tcPr>
            <w:tcW w:w="1313" w:type="dxa"/>
            <w:vAlign w:val="center"/>
          </w:tcPr>
          <w:p w14:paraId="46AC675C"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10.25 (52.90%)</w:t>
            </w:r>
          </w:p>
        </w:tc>
        <w:tc>
          <w:tcPr>
            <w:tcW w:w="1530" w:type="dxa"/>
            <w:vAlign w:val="center"/>
          </w:tcPr>
          <w:p w14:paraId="5F060E42"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10.51 (38.99%)</w:t>
            </w:r>
          </w:p>
        </w:tc>
        <w:tc>
          <w:tcPr>
            <w:tcW w:w="1260" w:type="dxa"/>
            <w:vAlign w:val="center"/>
          </w:tcPr>
          <w:p w14:paraId="065DF204" w14:textId="77777777" w:rsidR="00CD2E4C" w:rsidRPr="00AF7CD9" w:rsidRDefault="00CD2E4C" w:rsidP="002B482F">
            <w:pPr>
              <w:spacing w:beforeLines="60" w:before="144" w:afterLines="60" w:after="144"/>
              <w:jc w:val="center"/>
              <w:rPr>
                <w:rFonts w:ascii="Gill Sans MT" w:hAnsi="Gill Sans MT" w:cs="Calibri"/>
                <w:color w:val="000000"/>
                <w:sz w:val="16"/>
                <w:szCs w:val="16"/>
              </w:rPr>
            </w:pPr>
            <w:r w:rsidRPr="00AF7CD9">
              <w:rPr>
                <w:rFonts w:ascii="Gill Sans MT" w:hAnsi="Gill Sans MT" w:cs="Calibri"/>
                <w:color w:val="000000"/>
                <w:sz w:val="16"/>
                <w:szCs w:val="16"/>
              </w:rPr>
              <w:t>8.75 (89.87%)</w:t>
            </w:r>
          </w:p>
        </w:tc>
        <w:tc>
          <w:tcPr>
            <w:tcW w:w="1440" w:type="dxa"/>
            <w:vAlign w:val="center"/>
          </w:tcPr>
          <w:p w14:paraId="5D1A367A" w14:textId="77777777" w:rsidR="00CD2E4C" w:rsidRPr="00AF7CD9" w:rsidRDefault="00CD2E4C" w:rsidP="002B482F">
            <w:pPr>
              <w:spacing w:beforeLines="60" w:before="144" w:afterLines="60" w:after="144"/>
              <w:jc w:val="center"/>
              <w:rPr>
                <w:rFonts w:ascii="Gill Sans MT" w:hAnsi="Gill Sans MT" w:cs="Calibri"/>
                <w:color w:val="000000"/>
                <w:sz w:val="16"/>
                <w:szCs w:val="16"/>
              </w:rPr>
            </w:pPr>
            <w:r w:rsidRPr="00AF7CD9">
              <w:rPr>
                <w:rFonts w:ascii="Gill Sans MT" w:hAnsi="Gill Sans MT" w:cs="Calibri"/>
                <w:color w:val="000000"/>
                <w:sz w:val="16"/>
                <w:szCs w:val="16"/>
              </w:rPr>
              <w:t>20.46 (90.12%)</w:t>
            </w:r>
          </w:p>
        </w:tc>
        <w:tc>
          <w:tcPr>
            <w:tcW w:w="1530" w:type="dxa"/>
            <w:vAlign w:val="center"/>
          </w:tcPr>
          <w:p w14:paraId="51A8DAE8"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7.35 (84.45%)</w:t>
            </w:r>
          </w:p>
        </w:tc>
        <w:tc>
          <w:tcPr>
            <w:tcW w:w="1350" w:type="dxa"/>
            <w:vAlign w:val="center"/>
          </w:tcPr>
          <w:p w14:paraId="55E2E865" w14:textId="77777777" w:rsidR="00CD2E4C" w:rsidRPr="00AF7CD9" w:rsidRDefault="00CD2E4C" w:rsidP="002B482F">
            <w:pPr>
              <w:spacing w:beforeLines="60" w:before="144" w:afterLines="60" w:after="144"/>
              <w:jc w:val="center"/>
              <w:rPr>
                <w:rFonts w:ascii="Gill Sans MT" w:hAnsi="Gill Sans MT" w:cs="Arial"/>
                <w:sz w:val="16"/>
                <w:szCs w:val="16"/>
              </w:rPr>
            </w:pPr>
            <w:r w:rsidRPr="00AF7CD9">
              <w:rPr>
                <w:rFonts w:ascii="Gill Sans MT" w:hAnsi="Gill Sans MT" w:cs="Arial"/>
                <w:sz w:val="16"/>
                <w:szCs w:val="16"/>
              </w:rPr>
              <w:t>18.76 (87.87%)</w:t>
            </w:r>
          </w:p>
        </w:tc>
        <w:tc>
          <w:tcPr>
            <w:tcW w:w="1349" w:type="dxa"/>
            <w:vAlign w:val="center"/>
          </w:tcPr>
          <w:p w14:paraId="7CFA5D07" w14:textId="77777777" w:rsidR="00CD2E4C" w:rsidRPr="00AF7CD9" w:rsidRDefault="00CD2E4C" w:rsidP="002B482F">
            <w:pPr>
              <w:spacing w:beforeLines="60" w:before="144" w:afterLines="60" w:after="144"/>
              <w:jc w:val="center"/>
              <w:rPr>
                <w:rFonts w:ascii="Gill Sans MT" w:hAnsi="Gill Sans MT" w:cs="Calibri"/>
                <w:color w:val="000000"/>
                <w:sz w:val="16"/>
                <w:szCs w:val="16"/>
              </w:rPr>
            </w:pPr>
            <w:r w:rsidRPr="00AF7CD9">
              <w:rPr>
                <w:rFonts w:ascii="Gill Sans MT" w:hAnsi="Gill Sans MT" w:cs="Calibri"/>
                <w:color w:val="000000"/>
                <w:sz w:val="16"/>
                <w:szCs w:val="16"/>
              </w:rPr>
              <w:t>25.19 (90.13%)</w:t>
            </w:r>
          </w:p>
        </w:tc>
        <w:tc>
          <w:tcPr>
            <w:tcW w:w="1350" w:type="dxa"/>
            <w:vAlign w:val="center"/>
          </w:tcPr>
          <w:p w14:paraId="2BCFDCCA"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21.45 (17.45%)</w:t>
            </w:r>
          </w:p>
        </w:tc>
        <w:tc>
          <w:tcPr>
            <w:tcW w:w="1293" w:type="dxa"/>
            <w:vAlign w:val="center"/>
          </w:tcPr>
          <w:p w14:paraId="605605FA"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101.27 (89.30)</w:t>
            </w:r>
          </w:p>
        </w:tc>
      </w:tr>
      <w:tr w:rsidR="00CD2E4C" w:rsidRPr="000F5D0D" w14:paraId="44CD69CC" w14:textId="77777777" w:rsidTr="002B482F">
        <w:trPr>
          <w:trHeight w:val="188"/>
        </w:trPr>
        <w:tc>
          <w:tcPr>
            <w:tcW w:w="923" w:type="dxa"/>
            <w:tcBorders>
              <w:bottom w:val="nil"/>
            </w:tcBorders>
            <w:vAlign w:val="center"/>
          </w:tcPr>
          <w:p w14:paraId="54F27D48" w14:textId="77777777" w:rsidR="00CD2E4C" w:rsidRPr="00AF7CD9" w:rsidRDefault="00CD2E4C" w:rsidP="002B482F">
            <w:pPr>
              <w:spacing w:beforeLines="60" w:before="144" w:afterLines="60" w:after="144"/>
              <w:jc w:val="center"/>
              <w:rPr>
                <w:rFonts w:ascii="Gill Sans MT" w:hAnsi="Gill Sans MT"/>
                <w:sz w:val="16"/>
                <w:szCs w:val="16"/>
              </w:rPr>
            </w:pPr>
            <w:r w:rsidRPr="00AF7CD9">
              <w:rPr>
                <w:rFonts w:ascii="Gill Sans MT" w:hAnsi="Gill Sans MT"/>
                <w:sz w:val="16"/>
                <w:szCs w:val="16"/>
              </w:rPr>
              <w:t>AZ</w:t>
            </w:r>
          </w:p>
        </w:tc>
        <w:tc>
          <w:tcPr>
            <w:tcW w:w="1313" w:type="dxa"/>
            <w:tcBorders>
              <w:bottom w:val="nil"/>
            </w:tcBorders>
            <w:vAlign w:val="center"/>
          </w:tcPr>
          <w:p w14:paraId="75BD0D84"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5.19 (83%)</w:t>
            </w:r>
          </w:p>
        </w:tc>
        <w:tc>
          <w:tcPr>
            <w:tcW w:w="1530" w:type="dxa"/>
            <w:tcBorders>
              <w:bottom w:val="nil"/>
            </w:tcBorders>
            <w:vAlign w:val="center"/>
          </w:tcPr>
          <w:p w14:paraId="70BC8367"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5.20 (78%)</w:t>
            </w:r>
          </w:p>
        </w:tc>
        <w:tc>
          <w:tcPr>
            <w:tcW w:w="1260" w:type="dxa"/>
            <w:tcBorders>
              <w:bottom w:val="nil"/>
            </w:tcBorders>
            <w:vAlign w:val="center"/>
          </w:tcPr>
          <w:p w14:paraId="0B09E967" w14:textId="77777777" w:rsidR="00CD2E4C" w:rsidRPr="00AF7CD9" w:rsidRDefault="00CD2E4C" w:rsidP="002B482F">
            <w:pPr>
              <w:spacing w:beforeLines="60" w:before="144" w:afterLines="60" w:after="144"/>
              <w:jc w:val="center"/>
              <w:rPr>
                <w:rFonts w:ascii="Gill Sans MT" w:hAnsi="Gill Sans MT" w:cs="Calibri"/>
                <w:color w:val="000000"/>
                <w:sz w:val="16"/>
                <w:szCs w:val="16"/>
              </w:rPr>
            </w:pPr>
            <w:r w:rsidRPr="00AF7CD9">
              <w:rPr>
                <w:rFonts w:ascii="Gill Sans MT" w:hAnsi="Gill Sans MT" w:cs="Calibri"/>
                <w:color w:val="000000"/>
                <w:sz w:val="16"/>
                <w:szCs w:val="16"/>
              </w:rPr>
              <w:t>5.00 (97%)</w:t>
            </w:r>
          </w:p>
        </w:tc>
        <w:tc>
          <w:tcPr>
            <w:tcW w:w="1440" w:type="dxa"/>
            <w:tcBorders>
              <w:bottom w:val="nil"/>
            </w:tcBorders>
            <w:vAlign w:val="center"/>
          </w:tcPr>
          <w:p w14:paraId="164BC5F3" w14:textId="77777777" w:rsidR="00CD2E4C" w:rsidRPr="00AF7CD9" w:rsidRDefault="00CD2E4C" w:rsidP="002B482F">
            <w:pPr>
              <w:spacing w:beforeLines="60" w:before="144" w:afterLines="60" w:after="144"/>
              <w:jc w:val="center"/>
              <w:rPr>
                <w:rFonts w:ascii="Gill Sans MT" w:hAnsi="Gill Sans MT" w:cs="Calibri"/>
                <w:color w:val="000000"/>
                <w:sz w:val="16"/>
                <w:szCs w:val="16"/>
              </w:rPr>
            </w:pPr>
            <w:r w:rsidRPr="00AF7CD9">
              <w:rPr>
                <w:rFonts w:ascii="Gill Sans MT" w:hAnsi="Gill Sans MT" w:cs="Calibri"/>
                <w:color w:val="000000"/>
                <w:sz w:val="16"/>
                <w:szCs w:val="16"/>
              </w:rPr>
              <w:t>12.73 (98%)</w:t>
            </w:r>
          </w:p>
        </w:tc>
        <w:tc>
          <w:tcPr>
            <w:tcW w:w="1530" w:type="dxa"/>
            <w:tcBorders>
              <w:bottom w:val="nil"/>
            </w:tcBorders>
            <w:vAlign w:val="center"/>
          </w:tcPr>
          <w:p w14:paraId="73F5B139"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5.00 (95%)</w:t>
            </w:r>
          </w:p>
        </w:tc>
        <w:tc>
          <w:tcPr>
            <w:tcW w:w="1350" w:type="dxa"/>
            <w:tcBorders>
              <w:bottom w:val="nil"/>
            </w:tcBorders>
            <w:vAlign w:val="center"/>
          </w:tcPr>
          <w:p w14:paraId="339CCF85" w14:textId="77777777" w:rsidR="00CD2E4C" w:rsidRPr="00AF7CD9" w:rsidRDefault="00CD2E4C" w:rsidP="002B482F">
            <w:pPr>
              <w:spacing w:beforeLines="60" w:before="144" w:afterLines="60" w:after="144"/>
              <w:jc w:val="center"/>
              <w:rPr>
                <w:rFonts w:ascii="Gill Sans MT" w:hAnsi="Gill Sans MT" w:cs="Arial"/>
                <w:sz w:val="16"/>
                <w:szCs w:val="16"/>
              </w:rPr>
            </w:pPr>
            <w:r w:rsidRPr="00AF7CD9">
              <w:rPr>
                <w:rFonts w:ascii="Gill Sans MT" w:hAnsi="Gill Sans MT" w:cs="Arial"/>
                <w:sz w:val="16"/>
                <w:szCs w:val="16"/>
              </w:rPr>
              <w:t>12.86 (98%)</w:t>
            </w:r>
          </w:p>
        </w:tc>
        <w:tc>
          <w:tcPr>
            <w:tcW w:w="1349" w:type="dxa"/>
            <w:tcBorders>
              <w:bottom w:val="nil"/>
            </w:tcBorders>
            <w:vAlign w:val="center"/>
          </w:tcPr>
          <w:p w14:paraId="21D1E5E1" w14:textId="77777777" w:rsidR="00CD2E4C" w:rsidRPr="00AF7CD9" w:rsidRDefault="00CD2E4C" w:rsidP="002B482F">
            <w:pPr>
              <w:spacing w:beforeLines="60" w:before="144" w:afterLines="60" w:after="144"/>
              <w:jc w:val="center"/>
              <w:rPr>
                <w:rFonts w:ascii="Gill Sans MT" w:hAnsi="Gill Sans MT" w:cs="Calibri"/>
                <w:color w:val="000000"/>
                <w:sz w:val="16"/>
                <w:szCs w:val="16"/>
              </w:rPr>
            </w:pPr>
            <w:r w:rsidRPr="00AF7CD9">
              <w:rPr>
                <w:rFonts w:ascii="Gill Sans MT" w:hAnsi="Gill Sans MT" w:cs="Calibri"/>
                <w:color w:val="000000"/>
                <w:sz w:val="16"/>
                <w:szCs w:val="16"/>
              </w:rPr>
              <w:t>13.83 (100%)</w:t>
            </w:r>
          </w:p>
        </w:tc>
        <w:tc>
          <w:tcPr>
            <w:tcW w:w="1350" w:type="dxa"/>
            <w:tcBorders>
              <w:bottom w:val="nil"/>
            </w:tcBorders>
            <w:vAlign w:val="center"/>
          </w:tcPr>
          <w:p w14:paraId="0C6CA3EF"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5.00 (81%)</w:t>
            </w:r>
          </w:p>
        </w:tc>
        <w:tc>
          <w:tcPr>
            <w:tcW w:w="1293" w:type="dxa"/>
            <w:tcBorders>
              <w:bottom w:val="nil"/>
            </w:tcBorders>
            <w:vAlign w:val="center"/>
          </w:tcPr>
          <w:p w14:paraId="3ED9CE55"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64.81 (99)</w:t>
            </w:r>
          </w:p>
        </w:tc>
      </w:tr>
      <w:tr w:rsidR="00CD2E4C" w:rsidRPr="000F5D0D" w14:paraId="58158790" w14:textId="77777777" w:rsidTr="002B482F">
        <w:trPr>
          <w:trHeight w:val="70"/>
        </w:trPr>
        <w:tc>
          <w:tcPr>
            <w:tcW w:w="923" w:type="dxa"/>
            <w:vAlign w:val="center"/>
          </w:tcPr>
          <w:p w14:paraId="17608590" w14:textId="77777777" w:rsidR="00CD2E4C" w:rsidRPr="00AF7CD9" w:rsidRDefault="00CD2E4C" w:rsidP="002B482F">
            <w:pPr>
              <w:spacing w:beforeLines="60" w:before="144" w:afterLines="60" w:after="144"/>
              <w:jc w:val="center"/>
              <w:rPr>
                <w:rFonts w:ascii="Gill Sans MT" w:hAnsi="Gill Sans MT"/>
                <w:sz w:val="16"/>
                <w:szCs w:val="16"/>
              </w:rPr>
            </w:pPr>
            <w:r w:rsidRPr="00AF7CD9">
              <w:rPr>
                <w:rFonts w:ascii="Gill Sans MT" w:hAnsi="Gill Sans MT"/>
                <w:sz w:val="16"/>
                <w:szCs w:val="16"/>
              </w:rPr>
              <w:t>CA</w:t>
            </w:r>
          </w:p>
        </w:tc>
        <w:tc>
          <w:tcPr>
            <w:tcW w:w="1313" w:type="dxa"/>
            <w:vAlign w:val="center"/>
          </w:tcPr>
          <w:p w14:paraId="6CF09F9B"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5.00 (80%)</w:t>
            </w:r>
          </w:p>
        </w:tc>
        <w:tc>
          <w:tcPr>
            <w:tcW w:w="1530" w:type="dxa"/>
            <w:vAlign w:val="center"/>
          </w:tcPr>
          <w:p w14:paraId="6627E349"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5.00 (2%)</w:t>
            </w:r>
          </w:p>
        </w:tc>
        <w:tc>
          <w:tcPr>
            <w:tcW w:w="1260" w:type="dxa"/>
            <w:vAlign w:val="center"/>
          </w:tcPr>
          <w:p w14:paraId="2347499A" w14:textId="77777777" w:rsidR="00CD2E4C" w:rsidRPr="00AF7CD9" w:rsidRDefault="00CD2E4C" w:rsidP="002B482F">
            <w:pPr>
              <w:spacing w:beforeLines="60" w:before="144" w:afterLines="60" w:after="144"/>
              <w:jc w:val="center"/>
              <w:rPr>
                <w:rFonts w:ascii="Gill Sans MT" w:hAnsi="Gill Sans MT" w:cs="Calibri"/>
                <w:color w:val="000000"/>
                <w:sz w:val="16"/>
                <w:szCs w:val="16"/>
              </w:rPr>
            </w:pPr>
            <w:r w:rsidRPr="00AF7CD9">
              <w:rPr>
                <w:rFonts w:ascii="Gill Sans MT" w:hAnsi="Gill Sans MT" w:cs="Calibri"/>
                <w:color w:val="000000"/>
                <w:sz w:val="16"/>
                <w:szCs w:val="16"/>
              </w:rPr>
              <w:t>6.00 (98%)</w:t>
            </w:r>
          </w:p>
        </w:tc>
        <w:tc>
          <w:tcPr>
            <w:tcW w:w="1440" w:type="dxa"/>
            <w:vAlign w:val="center"/>
          </w:tcPr>
          <w:p w14:paraId="00DF69DF" w14:textId="77777777" w:rsidR="00CD2E4C" w:rsidRPr="00AF7CD9" w:rsidRDefault="00CD2E4C" w:rsidP="002B482F">
            <w:pPr>
              <w:spacing w:beforeLines="60" w:before="144" w:afterLines="60" w:after="144"/>
              <w:jc w:val="center"/>
              <w:rPr>
                <w:rFonts w:ascii="Gill Sans MT" w:hAnsi="Gill Sans MT" w:cs="Calibri"/>
                <w:color w:val="000000"/>
                <w:sz w:val="16"/>
                <w:szCs w:val="16"/>
              </w:rPr>
            </w:pPr>
            <w:r w:rsidRPr="00AF7CD9">
              <w:rPr>
                <w:rFonts w:ascii="Gill Sans MT" w:hAnsi="Gill Sans MT" w:cs="Calibri"/>
                <w:color w:val="000000"/>
                <w:sz w:val="16"/>
                <w:szCs w:val="16"/>
              </w:rPr>
              <w:t>16.57 (99%)</w:t>
            </w:r>
          </w:p>
        </w:tc>
        <w:tc>
          <w:tcPr>
            <w:tcW w:w="1530" w:type="dxa"/>
            <w:vAlign w:val="center"/>
          </w:tcPr>
          <w:p w14:paraId="15ED4A16"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5.99 (96%)</w:t>
            </w:r>
          </w:p>
        </w:tc>
        <w:tc>
          <w:tcPr>
            <w:tcW w:w="1350" w:type="dxa"/>
            <w:vAlign w:val="center"/>
          </w:tcPr>
          <w:p w14:paraId="4B3FD8B4" w14:textId="77777777" w:rsidR="00CD2E4C" w:rsidRPr="00AF7CD9" w:rsidRDefault="00CD2E4C" w:rsidP="002B482F">
            <w:pPr>
              <w:spacing w:beforeLines="60" w:before="144" w:afterLines="60" w:after="144"/>
              <w:jc w:val="center"/>
              <w:rPr>
                <w:rFonts w:ascii="Gill Sans MT" w:hAnsi="Gill Sans MT" w:cs="Arial"/>
                <w:sz w:val="16"/>
                <w:szCs w:val="16"/>
              </w:rPr>
            </w:pPr>
            <w:r w:rsidRPr="00AF7CD9">
              <w:rPr>
                <w:rFonts w:ascii="Gill Sans MT" w:hAnsi="Gill Sans MT" w:cs="Arial"/>
                <w:sz w:val="16"/>
                <w:szCs w:val="16"/>
              </w:rPr>
              <w:t>15.34 (99%)</w:t>
            </w:r>
          </w:p>
        </w:tc>
        <w:tc>
          <w:tcPr>
            <w:tcW w:w="1349" w:type="dxa"/>
            <w:vAlign w:val="center"/>
          </w:tcPr>
          <w:p w14:paraId="6B6944E5" w14:textId="77777777" w:rsidR="00CD2E4C" w:rsidRPr="00AF7CD9" w:rsidRDefault="00CD2E4C" w:rsidP="002B482F">
            <w:pPr>
              <w:spacing w:beforeLines="60" w:before="144" w:afterLines="60" w:after="144"/>
              <w:jc w:val="center"/>
              <w:rPr>
                <w:rFonts w:ascii="Gill Sans MT" w:hAnsi="Gill Sans MT" w:cs="Calibri"/>
                <w:color w:val="000000"/>
                <w:sz w:val="16"/>
                <w:szCs w:val="16"/>
              </w:rPr>
            </w:pPr>
            <w:r w:rsidRPr="00AF7CD9">
              <w:rPr>
                <w:rFonts w:ascii="Gill Sans MT" w:hAnsi="Gill Sans MT" w:cs="Calibri"/>
                <w:color w:val="000000"/>
                <w:sz w:val="16"/>
                <w:szCs w:val="16"/>
              </w:rPr>
              <w:t>29.24 (95%)</w:t>
            </w:r>
          </w:p>
        </w:tc>
        <w:tc>
          <w:tcPr>
            <w:tcW w:w="1350" w:type="dxa"/>
            <w:vAlign w:val="center"/>
          </w:tcPr>
          <w:p w14:paraId="40850312"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41.86 (8%)</w:t>
            </w:r>
          </w:p>
        </w:tc>
        <w:tc>
          <w:tcPr>
            <w:tcW w:w="1293" w:type="dxa"/>
            <w:vAlign w:val="center"/>
          </w:tcPr>
          <w:p w14:paraId="49D3A95F"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83.14 (113)</w:t>
            </w:r>
          </w:p>
        </w:tc>
      </w:tr>
      <w:tr w:rsidR="00CD2E4C" w:rsidRPr="000F5D0D" w14:paraId="0BB6565A" w14:textId="77777777" w:rsidTr="002B482F">
        <w:trPr>
          <w:trHeight w:val="80"/>
        </w:trPr>
        <w:tc>
          <w:tcPr>
            <w:tcW w:w="923" w:type="dxa"/>
            <w:vAlign w:val="center"/>
          </w:tcPr>
          <w:p w14:paraId="4CFE8849" w14:textId="77777777" w:rsidR="00CD2E4C" w:rsidRPr="00AF7CD9" w:rsidRDefault="00CD2E4C" w:rsidP="002B482F">
            <w:pPr>
              <w:spacing w:beforeLines="60" w:before="144" w:afterLines="60" w:after="144"/>
              <w:jc w:val="center"/>
              <w:rPr>
                <w:rFonts w:ascii="Gill Sans MT" w:hAnsi="Gill Sans MT"/>
                <w:sz w:val="16"/>
                <w:szCs w:val="16"/>
              </w:rPr>
            </w:pPr>
            <w:r w:rsidRPr="00AF7CD9">
              <w:rPr>
                <w:rFonts w:ascii="Gill Sans MT" w:hAnsi="Gill Sans MT"/>
                <w:sz w:val="16"/>
                <w:szCs w:val="16"/>
              </w:rPr>
              <w:t>CO</w:t>
            </w:r>
          </w:p>
        </w:tc>
        <w:tc>
          <w:tcPr>
            <w:tcW w:w="1313" w:type="dxa"/>
            <w:vAlign w:val="center"/>
          </w:tcPr>
          <w:p w14:paraId="5BBF44B7"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15.45 (26%)</w:t>
            </w:r>
          </w:p>
        </w:tc>
        <w:tc>
          <w:tcPr>
            <w:tcW w:w="1530" w:type="dxa"/>
            <w:vAlign w:val="center"/>
          </w:tcPr>
          <w:p w14:paraId="53BC0568"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12.14 (16%)</w:t>
            </w:r>
          </w:p>
        </w:tc>
        <w:tc>
          <w:tcPr>
            <w:tcW w:w="1260" w:type="dxa"/>
            <w:vAlign w:val="center"/>
          </w:tcPr>
          <w:p w14:paraId="6F285A51" w14:textId="77777777" w:rsidR="00CD2E4C" w:rsidRPr="00AF7CD9" w:rsidRDefault="00CD2E4C" w:rsidP="002B482F">
            <w:pPr>
              <w:spacing w:beforeLines="60" w:before="144" w:afterLines="60" w:after="144"/>
              <w:jc w:val="center"/>
              <w:rPr>
                <w:rFonts w:ascii="Gill Sans MT" w:hAnsi="Gill Sans MT" w:cs="Calibri"/>
                <w:color w:val="000000"/>
                <w:sz w:val="16"/>
                <w:szCs w:val="16"/>
              </w:rPr>
            </w:pPr>
            <w:r w:rsidRPr="00AF7CD9">
              <w:rPr>
                <w:rFonts w:ascii="Gill Sans MT" w:hAnsi="Gill Sans MT" w:cs="Calibri"/>
                <w:color w:val="000000"/>
                <w:sz w:val="16"/>
                <w:szCs w:val="16"/>
              </w:rPr>
              <w:t>12.63 (81%)</w:t>
            </w:r>
          </w:p>
        </w:tc>
        <w:tc>
          <w:tcPr>
            <w:tcW w:w="1440" w:type="dxa"/>
            <w:vAlign w:val="center"/>
          </w:tcPr>
          <w:p w14:paraId="7A1DD912" w14:textId="77777777" w:rsidR="00CD2E4C" w:rsidRPr="00AF7CD9" w:rsidRDefault="00CD2E4C" w:rsidP="002B482F">
            <w:pPr>
              <w:spacing w:beforeLines="60" w:before="144" w:afterLines="60" w:after="144"/>
              <w:jc w:val="center"/>
              <w:rPr>
                <w:rFonts w:ascii="Gill Sans MT" w:hAnsi="Gill Sans MT" w:cs="Calibri"/>
                <w:color w:val="000000"/>
                <w:sz w:val="16"/>
                <w:szCs w:val="16"/>
              </w:rPr>
            </w:pPr>
            <w:r w:rsidRPr="00AF7CD9">
              <w:rPr>
                <w:rFonts w:ascii="Gill Sans MT" w:hAnsi="Gill Sans MT" w:cs="Calibri"/>
                <w:color w:val="000000"/>
                <w:sz w:val="16"/>
                <w:szCs w:val="16"/>
              </w:rPr>
              <w:t>26.86 (81%)</w:t>
            </w:r>
          </w:p>
        </w:tc>
        <w:tc>
          <w:tcPr>
            <w:tcW w:w="1530" w:type="dxa"/>
            <w:vAlign w:val="center"/>
          </w:tcPr>
          <w:p w14:paraId="661D8D49"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7.14 (67%)</w:t>
            </w:r>
          </w:p>
        </w:tc>
        <w:tc>
          <w:tcPr>
            <w:tcW w:w="1350" w:type="dxa"/>
            <w:vAlign w:val="center"/>
          </w:tcPr>
          <w:p w14:paraId="16C20C34" w14:textId="77777777" w:rsidR="00CD2E4C" w:rsidRPr="00AF7CD9" w:rsidRDefault="00CD2E4C" w:rsidP="002B482F">
            <w:pPr>
              <w:spacing w:beforeLines="60" w:before="144" w:afterLines="60" w:after="144"/>
              <w:jc w:val="center"/>
              <w:rPr>
                <w:rFonts w:ascii="Gill Sans MT" w:hAnsi="Gill Sans MT" w:cs="Arial"/>
                <w:sz w:val="16"/>
                <w:szCs w:val="16"/>
              </w:rPr>
            </w:pPr>
            <w:r w:rsidRPr="00AF7CD9">
              <w:rPr>
                <w:rFonts w:ascii="Gill Sans MT" w:hAnsi="Gill Sans MT" w:cs="Arial"/>
                <w:sz w:val="16"/>
                <w:szCs w:val="16"/>
              </w:rPr>
              <w:t>25.81 (86%)</w:t>
            </w:r>
          </w:p>
        </w:tc>
        <w:tc>
          <w:tcPr>
            <w:tcW w:w="1349" w:type="dxa"/>
            <w:vAlign w:val="center"/>
          </w:tcPr>
          <w:p w14:paraId="2D5AE2D6" w14:textId="77777777" w:rsidR="00CD2E4C" w:rsidRPr="00AF7CD9" w:rsidRDefault="00CD2E4C" w:rsidP="002B482F">
            <w:pPr>
              <w:spacing w:beforeLines="60" w:before="144" w:afterLines="60" w:after="144"/>
              <w:jc w:val="center"/>
              <w:rPr>
                <w:rFonts w:ascii="Gill Sans MT" w:hAnsi="Gill Sans MT" w:cs="Calibri"/>
                <w:color w:val="000000"/>
                <w:sz w:val="16"/>
                <w:szCs w:val="16"/>
              </w:rPr>
            </w:pPr>
            <w:r w:rsidRPr="00AF7CD9">
              <w:rPr>
                <w:rFonts w:ascii="Gill Sans MT" w:hAnsi="Gill Sans MT" w:cs="Calibri"/>
                <w:color w:val="000000"/>
                <w:sz w:val="16"/>
                <w:szCs w:val="16"/>
              </w:rPr>
              <w:t>29.63 (93%)</w:t>
            </w:r>
          </w:p>
        </w:tc>
        <w:tc>
          <w:tcPr>
            <w:tcW w:w="1350" w:type="dxa"/>
            <w:vAlign w:val="center"/>
          </w:tcPr>
          <w:p w14:paraId="12BCEB36"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0.00 (0%)</w:t>
            </w:r>
          </w:p>
        </w:tc>
        <w:tc>
          <w:tcPr>
            <w:tcW w:w="1293" w:type="dxa"/>
            <w:vAlign w:val="center"/>
          </w:tcPr>
          <w:p w14:paraId="74982452"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129.66 (61)</w:t>
            </w:r>
          </w:p>
        </w:tc>
      </w:tr>
      <w:tr w:rsidR="00CD2E4C" w:rsidRPr="000F5D0D" w14:paraId="51DE189D" w14:textId="77777777" w:rsidTr="002B482F">
        <w:trPr>
          <w:trHeight w:val="70"/>
        </w:trPr>
        <w:tc>
          <w:tcPr>
            <w:tcW w:w="923" w:type="dxa"/>
            <w:vAlign w:val="center"/>
          </w:tcPr>
          <w:p w14:paraId="6D1B7836" w14:textId="77777777" w:rsidR="00CD2E4C" w:rsidRPr="00AF7CD9" w:rsidRDefault="00CD2E4C" w:rsidP="002B482F">
            <w:pPr>
              <w:spacing w:beforeLines="60" w:before="144" w:afterLines="60" w:after="144"/>
              <w:jc w:val="center"/>
              <w:rPr>
                <w:rFonts w:ascii="Gill Sans MT" w:hAnsi="Gill Sans MT" w:cs="Arial"/>
                <w:sz w:val="16"/>
                <w:szCs w:val="16"/>
              </w:rPr>
            </w:pPr>
            <w:r w:rsidRPr="00AF7CD9">
              <w:rPr>
                <w:rFonts w:ascii="Gill Sans MT" w:hAnsi="Gill Sans MT"/>
                <w:sz w:val="16"/>
                <w:szCs w:val="16"/>
              </w:rPr>
              <w:t>MI</w:t>
            </w:r>
          </w:p>
        </w:tc>
        <w:tc>
          <w:tcPr>
            <w:tcW w:w="1313" w:type="dxa"/>
            <w:vAlign w:val="center"/>
          </w:tcPr>
          <w:p w14:paraId="51DF8E53"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6.89 (92%)</w:t>
            </w:r>
          </w:p>
        </w:tc>
        <w:tc>
          <w:tcPr>
            <w:tcW w:w="1530" w:type="dxa"/>
            <w:vAlign w:val="center"/>
          </w:tcPr>
          <w:p w14:paraId="0863F6C6"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9.15 (96%)</w:t>
            </w:r>
          </w:p>
        </w:tc>
        <w:tc>
          <w:tcPr>
            <w:tcW w:w="1260" w:type="dxa"/>
            <w:vAlign w:val="center"/>
          </w:tcPr>
          <w:p w14:paraId="7DFEBDA0" w14:textId="77777777" w:rsidR="00CD2E4C" w:rsidRPr="00AF7CD9" w:rsidRDefault="00CD2E4C" w:rsidP="002B482F">
            <w:pPr>
              <w:spacing w:beforeLines="60" w:before="144" w:afterLines="60" w:after="144"/>
              <w:jc w:val="center"/>
              <w:rPr>
                <w:rFonts w:ascii="Gill Sans MT" w:hAnsi="Gill Sans MT" w:cs="Calibri"/>
                <w:color w:val="000000"/>
                <w:sz w:val="16"/>
                <w:szCs w:val="16"/>
              </w:rPr>
            </w:pPr>
            <w:r w:rsidRPr="00AF7CD9">
              <w:rPr>
                <w:rFonts w:ascii="Gill Sans MT" w:hAnsi="Gill Sans MT" w:cs="Calibri"/>
                <w:color w:val="000000"/>
                <w:sz w:val="16"/>
                <w:szCs w:val="16"/>
              </w:rPr>
              <w:t>8.23 (96%)</w:t>
            </w:r>
          </w:p>
        </w:tc>
        <w:tc>
          <w:tcPr>
            <w:tcW w:w="1440" w:type="dxa"/>
            <w:vAlign w:val="center"/>
          </w:tcPr>
          <w:p w14:paraId="30BDB011" w14:textId="77777777" w:rsidR="00CD2E4C" w:rsidRPr="00AF7CD9" w:rsidRDefault="00CD2E4C" w:rsidP="002B482F">
            <w:pPr>
              <w:spacing w:beforeLines="60" w:before="144" w:afterLines="60" w:after="144"/>
              <w:jc w:val="center"/>
              <w:rPr>
                <w:rFonts w:ascii="Gill Sans MT" w:hAnsi="Gill Sans MT" w:cs="Calibri"/>
                <w:color w:val="000000"/>
                <w:sz w:val="16"/>
                <w:szCs w:val="16"/>
              </w:rPr>
            </w:pPr>
            <w:r w:rsidRPr="00AF7CD9">
              <w:rPr>
                <w:rFonts w:ascii="Gill Sans MT" w:hAnsi="Gill Sans MT" w:cs="Calibri"/>
                <w:color w:val="000000"/>
                <w:sz w:val="16"/>
                <w:szCs w:val="16"/>
              </w:rPr>
              <w:t>21.85 (96%)</w:t>
            </w:r>
          </w:p>
        </w:tc>
        <w:tc>
          <w:tcPr>
            <w:tcW w:w="1530" w:type="dxa"/>
            <w:vAlign w:val="center"/>
          </w:tcPr>
          <w:p w14:paraId="78184946"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8.46 (94%)</w:t>
            </w:r>
          </w:p>
        </w:tc>
        <w:tc>
          <w:tcPr>
            <w:tcW w:w="1350" w:type="dxa"/>
            <w:vAlign w:val="center"/>
          </w:tcPr>
          <w:p w14:paraId="56BFFF1C" w14:textId="77777777" w:rsidR="00CD2E4C" w:rsidRPr="00AF7CD9" w:rsidRDefault="00CD2E4C" w:rsidP="002B482F">
            <w:pPr>
              <w:spacing w:beforeLines="60" w:before="144" w:afterLines="60" w:after="144"/>
              <w:jc w:val="center"/>
              <w:rPr>
                <w:rFonts w:ascii="Gill Sans MT" w:hAnsi="Gill Sans MT" w:cs="Arial"/>
                <w:sz w:val="16"/>
                <w:szCs w:val="16"/>
              </w:rPr>
            </w:pPr>
            <w:r w:rsidRPr="00AF7CD9">
              <w:rPr>
                <w:rFonts w:ascii="Gill Sans MT" w:hAnsi="Gill Sans MT" w:cs="Arial"/>
                <w:sz w:val="16"/>
                <w:szCs w:val="16"/>
              </w:rPr>
              <w:t>22.25 (90%)</w:t>
            </w:r>
          </w:p>
        </w:tc>
        <w:tc>
          <w:tcPr>
            <w:tcW w:w="1349" w:type="dxa"/>
            <w:vAlign w:val="center"/>
          </w:tcPr>
          <w:p w14:paraId="1EAAB89B" w14:textId="77777777" w:rsidR="00CD2E4C" w:rsidRPr="00AF7CD9" w:rsidRDefault="00CD2E4C" w:rsidP="002B482F">
            <w:pPr>
              <w:spacing w:beforeLines="60" w:before="144" w:afterLines="60" w:after="144"/>
              <w:jc w:val="center"/>
              <w:rPr>
                <w:rFonts w:ascii="Gill Sans MT" w:hAnsi="Gill Sans MT" w:cs="Calibri"/>
                <w:color w:val="000000"/>
                <w:sz w:val="16"/>
                <w:szCs w:val="16"/>
              </w:rPr>
            </w:pPr>
            <w:r w:rsidRPr="00AF7CD9">
              <w:rPr>
                <w:rFonts w:ascii="Gill Sans MT" w:hAnsi="Gill Sans MT" w:cs="Calibri"/>
                <w:color w:val="000000"/>
                <w:sz w:val="16"/>
                <w:szCs w:val="16"/>
              </w:rPr>
              <w:t>30.02 (92%)</w:t>
            </w:r>
          </w:p>
        </w:tc>
        <w:tc>
          <w:tcPr>
            <w:tcW w:w="1350" w:type="dxa"/>
            <w:vAlign w:val="center"/>
          </w:tcPr>
          <w:p w14:paraId="1678C736"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0.00 (0%)</w:t>
            </w:r>
          </w:p>
        </w:tc>
        <w:tc>
          <w:tcPr>
            <w:tcW w:w="1293" w:type="dxa"/>
            <w:vAlign w:val="center"/>
          </w:tcPr>
          <w:p w14:paraId="327F1F3C"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106.85 (75)</w:t>
            </w:r>
          </w:p>
        </w:tc>
      </w:tr>
      <w:tr w:rsidR="00CD2E4C" w:rsidRPr="000F5D0D" w14:paraId="1ADC4258" w14:textId="77777777" w:rsidTr="002B482F">
        <w:trPr>
          <w:trHeight w:val="70"/>
        </w:trPr>
        <w:tc>
          <w:tcPr>
            <w:tcW w:w="923" w:type="dxa"/>
            <w:vAlign w:val="center"/>
          </w:tcPr>
          <w:p w14:paraId="50631461" w14:textId="77777777" w:rsidR="00CD2E4C" w:rsidRPr="00AF7CD9" w:rsidRDefault="00CD2E4C" w:rsidP="002B482F">
            <w:pPr>
              <w:spacing w:beforeLines="60" w:before="144" w:afterLines="60" w:after="144"/>
              <w:jc w:val="center"/>
              <w:rPr>
                <w:rFonts w:ascii="Gill Sans MT" w:hAnsi="Gill Sans MT" w:cs="Arial"/>
                <w:sz w:val="16"/>
                <w:szCs w:val="16"/>
              </w:rPr>
            </w:pPr>
            <w:r w:rsidRPr="00AF7CD9">
              <w:rPr>
                <w:rFonts w:ascii="Gill Sans MT" w:hAnsi="Gill Sans MT"/>
                <w:sz w:val="16"/>
                <w:szCs w:val="16"/>
              </w:rPr>
              <w:t>NJ</w:t>
            </w:r>
          </w:p>
        </w:tc>
        <w:tc>
          <w:tcPr>
            <w:tcW w:w="1313" w:type="dxa"/>
            <w:vAlign w:val="center"/>
          </w:tcPr>
          <w:p w14:paraId="0411A2CF"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15.77 (16%)</w:t>
            </w:r>
          </w:p>
        </w:tc>
        <w:tc>
          <w:tcPr>
            <w:tcW w:w="1530" w:type="dxa"/>
            <w:vAlign w:val="center"/>
          </w:tcPr>
          <w:p w14:paraId="339FA34F"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18.08 (16%)</w:t>
            </w:r>
          </w:p>
        </w:tc>
        <w:tc>
          <w:tcPr>
            <w:tcW w:w="1260" w:type="dxa"/>
            <w:vAlign w:val="center"/>
          </w:tcPr>
          <w:p w14:paraId="0E48EBD0" w14:textId="77777777" w:rsidR="00CD2E4C" w:rsidRPr="00AF7CD9" w:rsidRDefault="00CD2E4C" w:rsidP="002B482F">
            <w:pPr>
              <w:spacing w:beforeLines="60" w:before="144" w:afterLines="60" w:after="144"/>
              <w:jc w:val="center"/>
              <w:rPr>
                <w:rFonts w:ascii="Gill Sans MT" w:hAnsi="Gill Sans MT" w:cs="Calibri"/>
                <w:color w:val="000000"/>
                <w:sz w:val="16"/>
                <w:szCs w:val="16"/>
              </w:rPr>
            </w:pPr>
            <w:r w:rsidRPr="00AF7CD9">
              <w:rPr>
                <w:rFonts w:ascii="Gill Sans MT" w:hAnsi="Gill Sans MT" w:cs="Calibri"/>
                <w:color w:val="000000"/>
                <w:sz w:val="16"/>
                <w:szCs w:val="16"/>
              </w:rPr>
              <w:t>10.00 (96%)</w:t>
            </w:r>
          </w:p>
        </w:tc>
        <w:tc>
          <w:tcPr>
            <w:tcW w:w="1440" w:type="dxa"/>
            <w:vAlign w:val="center"/>
          </w:tcPr>
          <w:p w14:paraId="1E8B436F" w14:textId="77777777" w:rsidR="00CD2E4C" w:rsidRPr="00AF7CD9" w:rsidRDefault="00CD2E4C" w:rsidP="002B482F">
            <w:pPr>
              <w:spacing w:beforeLines="60" w:before="144" w:afterLines="60" w:after="144"/>
              <w:jc w:val="center"/>
              <w:rPr>
                <w:rFonts w:ascii="Gill Sans MT" w:hAnsi="Gill Sans MT" w:cs="Calibri"/>
                <w:color w:val="000000"/>
                <w:sz w:val="16"/>
                <w:szCs w:val="16"/>
              </w:rPr>
            </w:pPr>
            <w:r w:rsidRPr="00AF7CD9">
              <w:rPr>
                <w:rFonts w:ascii="Gill Sans MT" w:hAnsi="Gill Sans MT" w:cs="Calibri"/>
                <w:color w:val="000000"/>
                <w:sz w:val="16"/>
                <w:szCs w:val="16"/>
              </w:rPr>
              <w:t>20.66 (95%)</w:t>
            </w:r>
          </w:p>
        </w:tc>
        <w:tc>
          <w:tcPr>
            <w:tcW w:w="1530" w:type="dxa"/>
            <w:vAlign w:val="center"/>
          </w:tcPr>
          <w:p w14:paraId="5FA6CDFE"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10.23 (83%)</w:t>
            </w:r>
          </w:p>
        </w:tc>
        <w:tc>
          <w:tcPr>
            <w:tcW w:w="1350" w:type="dxa"/>
            <w:vAlign w:val="center"/>
          </w:tcPr>
          <w:p w14:paraId="1D396CDB" w14:textId="77777777" w:rsidR="00CD2E4C" w:rsidRPr="00AF7CD9" w:rsidRDefault="00CD2E4C" w:rsidP="002B482F">
            <w:pPr>
              <w:spacing w:beforeLines="60" w:before="144" w:afterLines="60" w:after="144"/>
              <w:jc w:val="center"/>
              <w:rPr>
                <w:rFonts w:ascii="Gill Sans MT" w:hAnsi="Gill Sans MT" w:cs="Arial"/>
                <w:sz w:val="16"/>
                <w:szCs w:val="16"/>
              </w:rPr>
            </w:pPr>
            <w:r w:rsidRPr="00AF7CD9">
              <w:rPr>
                <w:rFonts w:ascii="Gill Sans MT" w:hAnsi="Gill Sans MT" w:cs="Arial"/>
                <w:sz w:val="16"/>
                <w:szCs w:val="16"/>
              </w:rPr>
              <w:t>16.76 (89%)</w:t>
            </w:r>
          </w:p>
        </w:tc>
        <w:tc>
          <w:tcPr>
            <w:tcW w:w="1349" w:type="dxa"/>
            <w:vAlign w:val="center"/>
          </w:tcPr>
          <w:p w14:paraId="3F11D065" w14:textId="77777777" w:rsidR="00CD2E4C" w:rsidRPr="00AF7CD9" w:rsidRDefault="00CD2E4C" w:rsidP="002B482F">
            <w:pPr>
              <w:spacing w:beforeLines="60" w:before="144" w:afterLines="60" w:after="144"/>
              <w:jc w:val="center"/>
              <w:rPr>
                <w:rFonts w:ascii="Gill Sans MT" w:hAnsi="Gill Sans MT" w:cs="Calibri"/>
                <w:color w:val="000000"/>
                <w:sz w:val="16"/>
                <w:szCs w:val="16"/>
              </w:rPr>
            </w:pPr>
            <w:r w:rsidRPr="00AF7CD9">
              <w:rPr>
                <w:rFonts w:ascii="Gill Sans MT" w:hAnsi="Gill Sans MT" w:cs="Calibri"/>
                <w:color w:val="000000"/>
                <w:sz w:val="16"/>
                <w:szCs w:val="16"/>
              </w:rPr>
              <w:t>19.18 (84%)</w:t>
            </w:r>
          </w:p>
        </w:tc>
        <w:tc>
          <w:tcPr>
            <w:tcW w:w="1350" w:type="dxa"/>
            <w:vAlign w:val="center"/>
          </w:tcPr>
          <w:p w14:paraId="29748D6E"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26.82 (14%)</w:t>
            </w:r>
          </w:p>
        </w:tc>
        <w:tc>
          <w:tcPr>
            <w:tcW w:w="1293" w:type="dxa"/>
            <w:vAlign w:val="center"/>
          </w:tcPr>
          <w:p w14:paraId="77628D86"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137.50 (125)</w:t>
            </w:r>
          </w:p>
        </w:tc>
      </w:tr>
      <w:tr w:rsidR="00CD2E4C" w:rsidRPr="000F5D0D" w14:paraId="7501755F" w14:textId="77777777" w:rsidTr="002B482F">
        <w:trPr>
          <w:trHeight w:val="70"/>
        </w:trPr>
        <w:tc>
          <w:tcPr>
            <w:tcW w:w="923" w:type="dxa"/>
            <w:tcBorders>
              <w:bottom w:val="nil"/>
            </w:tcBorders>
            <w:vAlign w:val="center"/>
          </w:tcPr>
          <w:p w14:paraId="0EE9FCC5" w14:textId="77777777" w:rsidR="00CD2E4C" w:rsidRPr="00AF7CD9" w:rsidRDefault="00CD2E4C" w:rsidP="002B482F">
            <w:pPr>
              <w:spacing w:beforeLines="60" w:before="144" w:afterLines="60" w:after="144"/>
              <w:jc w:val="center"/>
              <w:rPr>
                <w:rFonts w:ascii="Gill Sans MT" w:hAnsi="Gill Sans MT" w:cs="Arial"/>
                <w:sz w:val="16"/>
                <w:szCs w:val="16"/>
              </w:rPr>
            </w:pPr>
            <w:r w:rsidRPr="00AF7CD9">
              <w:rPr>
                <w:rFonts w:ascii="Gill Sans MT" w:hAnsi="Gill Sans MT"/>
                <w:sz w:val="16"/>
                <w:szCs w:val="16"/>
              </w:rPr>
              <w:t>NY</w:t>
            </w:r>
          </w:p>
        </w:tc>
        <w:tc>
          <w:tcPr>
            <w:tcW w:w="1313" w:type="dxa"/>
            <w:tcBorders>
              <w:bottom w:val="nil"/>
            </w:tcBorders>
            <w:vAlign w:val="center"/>
          </w:tcPr>
          <w:p w14:paraId="4192BA07"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13.18 (21%)</w:t>
            </w:r>
          </w:p>
        </w:tc>
        <w:tc>
          <w:tcPr>
            <w:tcW w:w="1530" w:type="dxa"/>
            <w:tcBorders>
              <w:bottom w:val="nil"/>
            </w:tcBorders>
            <w:vAlign w:val="center"/>
          </w:tcPr>
          <w:p w14:paraId="34F77BAE"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13.45 (25%)</w:t>
            </w:r>
          </w:p>
        </w:tc>
        <w:tc>
          <w:tcPr>
            <w:tcW w:w="1260" w:type="dxa"/>
            <w:tcBorders>
              <w:bottom w:val="nil"/>
            </w:tcBorders>
            <w:vAlign w:val="center"/>
          </w:tcPr>
          <w:p w14:paraId="15509396" w14:textId="77777777" w:rsidR="00CD2E4C" w:rsidRPr="00AF7CD9" w:rsidRDefault="00CD2E4C" w:rsidP="002B482F">
            <w:pPr>
              <w:spacing w:beforeLines="60" w:before="144" w:afterLines="60" w:after="144"/>
              <w:jc w:val="center"/>
              <w:rPr>
                <w:rFonts w:ascii="Gill Sans MT" w:hAnsi="Gill Sans MT" w:cs="Calibri"/>
                <w:color w:val="000000"/>
                <w:sz w:val="16"/>
                <w:szCs w:val="16"/>
              </w:rPr>
            </w:pPr>
            <w:r w:rsidRPr="00AF7CD9">
              <w:rPr>
                <w:rFonts w:ascii="Gill Sans MT" w:hAnsi="Gill Sans MT" w:cs="Calibri"/>
                <w:color w:val="000000"/>
                <w:sz w:val="16"/>
                <w:szCs w:val="16"/>
              </w:rPr>
              <w:t>10.62 (71%)</w:t>
            </w:r>
          </w:p>
        </w:tc>
        <w:tc>
          <w:tcPr>
            <w:tcW w:w="1440" w:type="dxa"/>
            <w:tcBorders>
              <w:bottom w:val="nil"/>
            </w:tcBorders>
            <w:vAlign w:val="center"/>
          </w:tcPr>
          <w:p w14:paraId="4F3A9F02" w14:textId="77777777" w:rsidR="00CD2E4C" w:rsidRPr="00AF7CD9" w:rsidRDefault="00CD2E4C" w:rsidP="002B482F">
            <w:pPr>
              <w:spacing w:beforeLines="60" w:before="144" w:afterLines="60" w:after="144"/>
              <w:jc w:val="center"/>
              <w:rPr>
                <w:rFonts w:ascii="Gill Sans MT" w:hAnsi="Gill Sans MT" w:cs="Calibri"/>
                <w:color w:val="000000"/>
                <w:sz w:val="16"/>
                <w:szCs w:val="16"/>
              </w:rPr>
            </w:pPr>
            <w:r w:rsidRPr="00AF7CD9">
              <w:rPr>
                <w:rFonts w:ascii="Gill Sans MT" w:hAnsi="Gill Sans MT" w:cs="Calibri"/>
                <w:color w:val="000000"/>
                <w:sz w:val="16"/>
                <w:szCs w:val="16"/>
              </w:rPr>
              <w:t>24.11 (71%)</w:t>
            </w:r>
          </w:p>
        </w:tc>
        <w:tc>
          <w:tcPr>
            <w:tcW w:w="1530" w:type="dxa"/>
            <w:tcBorders>
              <w:bottom w:val="nil"/>
            </w:tcBorders>
            <w:vAlign w:val="center"/>
          </w:tcPr>
          <w:p w14:paraId="16F2EE70"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7.30 (71%)</w:t>
            </w:r>
          </w:p>
        </w:tc>
        <w:tc>
          <w:tcPr>
            <w:tcW w:w="1350" w:type="dxa"/>
            <w:tcBorders>
              <w:bottom w:val="nil"/>
            </w:tcBorders>
            <w:vAlign w:val="center"/>
          </w:tcPr>
          <w:p w14:paraId="00B208F2" w14:textId="77777777" w:rsidR="00CD2E4C" w:rsidRPr="00AF7CD9" w:rsidRDefault="00CD2E4C" w:rsidP="002B482F">
            <w:pPr>
              <w:spacing w:beforeLines="60" w:before="144" w:afterLines="60" w:after="144"/>
              <w:jc w:val="center"/>
              <w:rPr>
                <w:rFonts w:ascii="Gill Sans MT" w:hAnsi="Gill Sans MT" w:cs="Arial"/>
                <w:sz w:val="16"/>
                <w:szCs w:val="16"/>
              </w:rPr>
            </w:pPr>
            <w:r w:rsidRPr="00AF7CD9">
              <w:rPr>
                <w:rFonts w:ascii="Gill Sans MT" w:hAnsi="Gill Sans MT" w:cs="Arial"/>
                <w:sz w:val="16"/>
                <w:szCs w:val="16"/>
              </w:rPr>
              <w:t>19.56 (65%)</w:t>
            </w:r>
          </w:p>
        </w:tc>
        <w:tc>
          <w:tcPr>
            <w:tcW w:w="1349" w:type="dxa"/>
            <w:tcBorders>
              <w:bottom w:val="nil"/>
            </w:tcBorders>
            <w:vAlign w:val="center"/>
          </w:tcPr>
          <w:p w14:paraId="490DDF9D" w14:textId="77777777" w:rsidR="00CD2E4C" w:rsidRPr="00AF7CD9" w:rsidRDefault="00CD2E4C" w:rsidP="002B482F">
            <w:pPr>
              <w:spacing w:beforeLines="60" w:before="144" w:afterLines="60" w:after="144"/>
              <w:jc w:val="center"/>
              <w:rPr>
                <w:rFonts w:ascii="Gill Sans MT" w:hAnsi="Gill Sans MT" w:cs="Calibri"/>
                <w:color w:val="000000"/>
                <w:sz w:val="16"/>
                <w:szCs w:val="16"/>
              </w:rPr>
            </w:pPr>
            <w:r w:rsidRPr="00AF7CD9">
              <w:rPr>
                <w:rFonts w:ascii="Gill Sans MT" w:hAnsi="Gill Sans MT" w:cs="Calibri"/>
                <w:color w:val="000000"/>
                <w:sz w:val="16"/>
                <w:szCs w:val="16"/>
              </w:rPr>
              <w:t>29.25 (77%)</w:t>
            </w:r>
          </w:p>
        </w:tc>
        <w:tc>
          <w:tcPr>
            <w:tcW w:w="1350" w:type="dxa"/>
            <w:tcBorders>
              <w:bottom w:val="nil"/>
            </w:tcBorders>
            <w:vAlign w:val="center"/>
          </w:tcPr>
          <w:p w14:paraId="3448709D"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55.00 (2%)</w:t>
            </w:r>
          </w:p>
        </w:tc>
        <w:tc>
          <w:tcPr>
            <w:tcW w:w="1293" w:type="dxa"/>
            <w:tcBorders>
              <w:bottom w:val="nil"/>
            </w:tcBorders>
            <w:vAlign w:val="center"/>
          </w:tcPr>
          <w:p w14:paraId="5A150F86" w14:textId="77777777" w:rsidR="00CD2E4C" w:rsidRPr="00AF7CD9" w:rsidRDefault="00CD2E4C" w:rsidP="002B482F">
            <w:pPr>
              <w:keepNext/>
              <w:adjustRightInd w:val="0"/>
              <w:spacing w:beforeLines="60" w:before="144" w:afterLines="60" w:after="144"/>
              <w:jc w:val="center"/>
              <w:rPr>
                <w:rFonts w:ascii="Gill Sans MT" w:hAnsi="Gill Sans MT"/>
                <w:color w:val="000000"/>
                <w:sz w:val="16"/>
                <w:szCs w:val="16"/>
              </w:rPr>
            </w:pPr>
            <w:r w:rsidRPr="00AF7CD9">
              <w:rPr>
                <w:rFonts w:ascii="Gill Sans MT" w:hAnsi="Gill Sans MT"/>
                <w:color w:val="000000"/>
                <w:sz w:val="16"/>
                <w:szCs w:val="16"/>
              </w:rPr>
              <w:t>117.47 (62)</w:t>
            </w:r>
          </w:p>
        </w:tc>
      </w:tr>
      <w:tr w:rsidR="00CD2E4C" w:rsidRPr="00B83275" w14:paraId="6A96C9F4" w14:textId="77777777" w:rsidTr="002B482F">
        <w:trPr>
          <w:trHeight w:val="233"/>
        </w:trPr>
        <w:tc>
          <w:tcPr>
            <w:tcW w:w="13338" w:type="dxa"/>
            <w:gridSpan w:val="10"/>
            <w:shd w:val="clear" w:color="auto" w:fill="BFBFBF"/>
          </w:tcPr>
          <w:p w14:paraId="5400BAB7" w14:textId="77777777" w:rsidR="00CD2E4C" w:rsidRPr="00B83275" w:rsidRDefault="00CD2E4C" w:rsidP="002B482F">
            <w:pPr>
              <w:rPr>
                <w:rFonts w:ascii="Gill Sans MT" w:hAnsi="Gill Sans MT" w:cs="Arial"/>
                <w:sz w:val="16"/>
                <w:szCs w:val="16"/>
              </w:rPr>
            </w:pPr>
            <w:r w:rsidRPr="00B83275">
              <w:rPr>
                <w:rFonts w:ascii="Gill Sans MT" w:hAnsi="Gill Sans MT" w:cs="Arial"/>
                <w:sz w:val="16"/>
                <w:szCs w:val="16"/>
              </w:rPr>
              <w:lastRenderedPageBreak/>
              <w:t xml:space="preserve">1. Indicates recommended daily instruction minutes for each iLit component. </w:t>
            </w:r>
          </w:p>
          <w:p w14:paraId="3B07EC67" w14:textId="77777777" w:rsidR="00CD2E4C" w:rsidRPr="00B83275" w:rsidRDefault="00CD2E4C" w:rsidP="002B482F">
            <w:pPr>
              <w:rPr>
                <w:rFonts w:ascii="Gill Sans MT" w:hAnsi="Gill Sans MT"/>
                <w:sz w:val="16"/>
                <w:szCs w:val="16"/>
              </w:rPr>
            </w:pPr>
            <w:r w:rsidRPr="00B83275">
              <w:rPr>
                <w:rFonts w:ascii="Gill Sans MT" w:hAnsi="Gill Sans MT"/>
                <w:sz w:val="16"/>
                <w:szCs w:val="16"/>
              </w:rPr>
              <w:t>Component cells indicate iLit teachers’ average reported instruction minutes and percent of lessons using that component.</w:t>
            </w:r>
          </w:p>
          <w:p w14:paraId="3A04F0CD" w14:textId="77777777" w:rsidR="00CD2E4C" w:rsidRPr="00B83275" w:rsidRDefault="00CD2E4C" w:rsidP="002B482F">
            <w:pPr>
              <w:rPr>
                <w:rFonts w:ascii="Gill Sans MT" w:hAnsi="Gill Sans MT" w:cs="Arial"/>
                <w:sz w:val="16"/>
                <w:szCs w:val="16"/>
                <w:highlight w:val="yellow"/>
              </w:rPr>
            </w:pPr>
            <w:r w:rsidRPr="00B83275">
              <w:rPr>
                <w:rFonts w:ascii="Gill Sans MT" w:hAnsi="Gill Sans MT" w:cs="Arial"/>
                <w:sz w:val="16"/>
                <w:szCs w:val="16"/>
              </w:rPr>
              <w:t xml:space="preserve">Parentheses for iLit Total cells indicate minutes in Literacy blocks at each site.  Total minutes does not include End of Unit Performance minutes. </w:t>
            </w:r>
          </w:p>
        </w:tc>
      </w:tr>
    </w:tbl>
    <w:p w14:paraId="35CE7B8B" w14:textId="77777777" w:rsidR="00CD2E4C" w:rsidRDefault="00CD2E4C" w:rsidP="00CD2E4C">
      <w:pPr>
        <w:jc w:val="both"/>
        <w:rPr>
          <w:color w:val="000000"/>
        </w:rPr>
        <w:sectPr w:rsidR="00CD2E4C" w:rsidSect="00792DFF">
          <w:footerReference w:type="default" r:id="rId17"/>
          <w:pgSz w:w="15840" w:h="12240" w:orient="landscape" w:code="1"/>
          <w:pgMar w:top="1440" w:right="547" w:bottom="1440" w:left="1267" w:header="720" w:footer="720" w:gutter="0"/>
          <w:cols w:space="720"/>
          <w:noEndnote/>
          <w:docGrid w:linePitch="326"/>
        </w:sectPr>
      </w:pPr>
    </w:p>
    <w:p w14:paraId="4D665E89" w14:textId="77777777" w:rsidR="00CD2E4C" w:rsidRDefault="00CD2E4C" w:rsidP="00CD2E4C">
      <w:pPr>
        <w:jc w:val="both"/>
        <w:rPr>
          <w:color w:val="000000"/>
        </w:rPr>
      </w:pPr>
    </w:p>
    <w:p w14:paraId="6B457BD8" w14:textId="77777777" w:rsidR="00CD2E4C" w:rsidRDefault="00CD2E4C" w:rsidP="00CD2E4C">
      <w:pPr>
        <w:rPr>
          <w:color w:val="000000"/>
        </w:rPr>
      </w:pPr>
      <w:r>
        <w:rPr>
          <w:color w:val="000000"/>
        </w:rPr>
        <w:br w:type="page"/>
      </w:r>
    </w:p>
    <w:p w14:paraId="63ACF1A5" w14:textId="77777777" w:rsidR="00CD2E4C" w:rsidRDefault="00CD2E4C" w:rsidP="00CD2E4C">
      <w:pPr>
        <w:jc w:val="both"/>
        <w:rPr>
          <w:color w:val="000000"/>
        </w:rPr>
        <w:sectPr w:rsidR="00CD2E4C" w:rsidSect="00994F3C">
          <w:type w:val="continuous"/>
          <w:pgSz w:w="15840" w:h="12240" w:orient="landscape" w:code="1"/>
          <w:pgMar w:top="1440" w:right="547" w:bottom="1440" w:left="1267" w:header="720" w:footer="720" w:gutter="0"/>
          <w:pgNumType w:start="12"/>
          <w:cols w:space="720"/>
          <w:noEndnote/>
          <w:docGrid w:linePitch="326"/>
        </w:sectPr>
      </w:pPr>
    </w:p>
    <w:p w14:paraId="6CCA1E03" w14:textId="77777777" w:rsidR="003D244A" w:rsidRDefault="003D244A" w:rsidP="003D7BFE">
      <w:pPr>
        <w:jc w:val="both"/>
      </w:pPr>
      <w:r>
        <w:rPr>
          <w:b/>
          <w:i/>
          <w:color w:val="000080"/>
          <w:sz w:val="28"/>
          <w:szCs w:val="28"/>
        </w:rPr>
        <w:lastRenderedPageBreak/>
        <w:t>iLit Program Implementation</w:t>
      </w:r>
    </w:p>
    <w:p w14:paraId="20EE5852" w14:textId="78089D01" w:rsidR="003D244A" w:rsidRDefault="00D02E98" w:rsidP="003D7BFE">
      <w:pPr>
        <w:jc w:val="both"/>
        <w:rPr>
          <w:color w:val="000000"/>
        </w:rPr>
      </w:pPr>
      <w:r>
        <w:rPr>
          <w:color w:val="000000"/>
        </w:rPr>
        <w:t>During the 2013-14 site visits o</w:t>
      </w:r>
      <w:r w:rsidR="003D244A">
        <w:rPr>
          <w:color w:val="000000"/>
        </w:rPr>
        <w:t>bservers from the research team rated each iLit teacher’s program implementation on several dimensions both prior to and after winter break.  These ratings were used to objectively categorize teachers as low, medium, and high program imple</w:t>
      </w:r>
      <w:r w:rsidR="00D4146C">
        <w:rPr>
          <w:color w:val="000000"/>
        </w:rPr>
        <w:t>menters.</w:t>
      </w:r>
      <w:r w:rsidR="003D244A">
        <w:rPr>
          <w:color w:val="000000"/>
        </w:rPr>
        <w:t xml:space="preserve">  The teacher from the NJ school was observed once, after winter break, as they did not </w:t>
      </w:r>
      <w:r w:rsidR="00D4146C">
        <w:rPr>
          <w:color w:val="000000"/>
        </w:rPr>
        <w:t>start using</w:t>
      </w:r>
      <w:r w:rsidR="003D244A">
        <w:rPr>
          <w:color w:val="000000"/>
        </w:rPr>
        <w:t xml:space="preserve"> the program prior to break.</w:t>
      </w:r>
    </w:p>
    <w:p w14:paraId="72BF05BF" w14:textId="77777777" w:rsidR="003D244A" w:rsidRDefault="003D244A" w:rsidP="003D7BFE">
      <w:pPr>
        <w:jc w:val="both"/>
        <w:rPr>
          <w:color w:val="000000"/>
        </w:rPr>
      </w:pPr>
    </w:p>
    <w:p w14:paraId="254C66ED" w14:textId="77777777" w:rsidR="003D244A" w:rsidRDefault="003D244A" w:rsidP="003D7BFE">
      <w:pPr>
        <w:jc w:val="both"/>
        <w:rPr>
          <w:color w:val="000000"/>
        </w:rPr>
      </w:pPr>
      <w:r>
        <w:rPr>
          <w:color w:val="000000"/>
        </w:rPr>
        <w:t xml:space="preserve">Ratings were given specifically for general classroom indicators (i.e., control, rapport, engagement, lesson preparation, differentiated instruction, instructional strategies, technology integration, pacing) and </w:t>
      </w:r>
      <w:r w:rsidR="00A40F78">
        <w:rPr>
          <w:color w:val="000000"/>
        </w:rPr>
        <w:t xml:space="preserve">implementation of </w:t>
      </w:r>
      <w:r>
        <w:rPr>
          <w:color w:val="000000"/>
        </w:rPr>
        <w:t>specific program components.  Teachers could be scored as did not meet, meets, and exceeds expectations according to a priori defined standards.  Teachers that met expectations in these areas were deemed medium implementers while those teachers that did not were categorized low implementers.  None of the iLit teachers were consistently rated as not meeting expectations.</w:t>
      </w:r>
    </w:p>
    <w:p w14:paraId="7F15535B" w14:textId="77777777" w:rsidR="003D244A" w:rsidRDefault="003D244A" w:rsidP="003D7BFE">
      <w:pPr>
        <w:jc w:val="both"/>
        <w:rPr>
          <w:color w:val="000000"/>
        </w:rPr>
      </w:pPr>
    </w:p>
    <w:p w14:paraId="702BD247" w14:textId="50DFDD89" w:rsidR="003D244A" w:rsidRDefault="003D244A" w:rsidP="003D7BFE">
      <w:pPr>
        <w:jc w:val="both"/>
        <w:rPr>
          <w:b/>
          <w:i/>
          <w:color w:val="000080"/>
          <w:sz w:val="28"/>
          <w:szCs w:val="28"/>
        </w:rPr>
      </w:pPr>
      <w:r w:rsidRPr="00A40F78">
        <w:rPr>
          <w:b/>
          <w:i/>
          <w:color w:val="000080"/>
          <w:sz w:val="28"/>
          <w:szCs w:val="28"/>
        </w:rPr>
        <w:t xml:space="preserve">Five </w:t>
      </w:r>
      <w:r w:rsidR="001B2121">
        <w:rPr>
          <w:b/>
          <w:i/>
          <w:color w:val="000080"/>
          <w:sz w:val="28"/>
          <w:szCs w:val="28"/>
        </w:rPr>
        <w:t>7</w:t>
      </w:r>
      <w:r w:rsidR="001B2121" w:rsidRPr="001B2121">
        <w:rPr>
          <w:b/>
          <w:i/>
          <w:color w:val="000080"/>
          <w:sz w:val="28"/>
          <w:szCs w:val="28"/>
          <w:vertAlign w:val="superscript"/>
        </w:rPr>
        <w:t>th</w:t>
      </w:r>
      <w:r w:rsidR="001B2121">
        <w:rPr>
          <w:b/>
          <w:i/>
          <w:color w:val="000080"/>
          <w:sz w:val="28"/>
          <w:szCs w:val="28"/>
        </w:rPr>
        <w:t xml:space="preserve"> grade </w:t>
      </w:r>
      <w:r w:rsidRPr="00A40F78">
        <w:rPr>
          <w:b/>
          <w:i/>
          <w:color w:val="000080"/>
          <w:sz w:val="28"/>
          <w:szCs w:val="28"/>
        </w:rPr>
        <w:t>iLit teachers were placed in the medium category and three teachers rose to level of high implementers. High implementers were characterized by consistently exceeding expectations on iLit and general classroom indicators, as well as, a holistic implementation rating of at least 8 out of 10.</w:t>
      </w:r>
      <w:r>
        <w:rPr>
          <w:b/>
          <w:i/>
          <w:color w:val="000080"/>
          <w:sz w:val="28"/>
          <w:szCs w:val="28"/>
        </w:rPr>
        <w:t xml:space="preserve">  </w:t>
      </w:r>
    </w:p>
    <w:p w14:paraId="5C2ED053" w14:textId="77777777" w:rsidR="003D244A" w:rsidRDefault="003D244A" w:rsidP="003D7BFE">
      <w:pPr>
        <w:jc w:val="both"/>
        <w:rPr>
          <w:color w:val="000000"/>
        </w:rPr>
      </w:pPr>
    </w:p>
    <w:p w14:paraId="0AFAD49A" w14:textId="77777777" w:rsidR="003D244A" w:rsidRDefault="003D244A" w:rsidP="003D7BFE">
      <w:pPr>
        <w:jc w:val="both"/>
        <w:rPr>
          <w:color w:val="000000"/>
        </w:rPr>
      </w:pPr>
      <w:r>
        <w:rPr>
          <w:color w:val="000000"/>
        </w:rPr>
        <w:t xml:space="preserve">Additionally, teachers were rated as to their overall implementation of the program on a one to ten scale.  Here observers considered and scored holistically a set of criteria including adherence to study guidelines, proper use of specific program elements, pacing, preparation, and presentation.  This holistic score was used to give added perspective to the general classroom and specific program component indicators.   </w:t>
      </w:r>
    </w:p>
    <w:p w14:paraId="53BAC042" w14:textId="77777777" w:rsidR="003D244A" w:rsidRDefault="003D244A" w:rsidP="003D7BFE">
      <w:pPr>
        <w:jc w:val="both"/>
        <w:rPr>
          <w:color w:val="000000"/>
        </w:rPr>
      </w:pPr>
    </w:p>
    <w:p w14:paraId="3E6E732D" w14:textId="77777777" w:rsidR="003D244A" w:rsidRDefault="003D244A" w:rsidP="003D7BFE">
      <w:pPr>
        <w:jc w:val="both"/>
      </w:pPr>
      <w:r>
        <w:rPr>
          <w:color w:val="000000"/>
        </w:rPr>
        <w:t xml:space="preserve">A rating of one was reserved for those teachers that were putting forth no effort and a ten was reserved for those teachers </w:t>
      </w:r>
      <w:r>
        <w:t xml:space="preserve">using all the required components with distinction, or </w:t>
      </w:r>
      <w:r>
        <w:rPr>
          <w:color w:val="000000"/>
        </w:rPr>
        <w:t>in essence, experts</w:t>
      </w:r>
      <w:r>
        <w:t>.</w:t>
      </w:r>
      <w:r>
        <w:rPr>
          <w:color w:val="000000"/>
        </w:rPr>
        <w:t xml:space="preserve">  </w:t>
      </w:r>
      <w:r>
        <w:t xml:space="preserve">A rating of five was applied to those teachers trying their best to implement the program but were still having some problems implementing the required components.  These teachers could be described as average implementers.  A rating of seven acted as an additional anchor point.  A rating of seven was given to those teachers that were implementing the required components well.  </w:t>
      </w:r>
    </w:p>
    <w:p w14:paraId="2E455EF7" w14:textId="77777777" w:rsidR="003D244A" w:rsidRDefault="003D244A" w:rsidP="003D7BFE">
      <w:pPr>
        <w:jc w:val="both"/>
        <w:rPr>
          <w:color w:val="000000"/>
        </w:rPr>
      </w:pPr>
    </w:p>
    <w:p w14:paraId="3658E680" w14:textId="4C756700" w:rsidR="003D244A" w:rsidRDefault="003D244A" w:rsidP="004123B5">
      <w:pPr>
        <w:jc w:val="both"/>
        <w:rPr>
          <w:b/>
          <w:i/>
          <w:color w:val="000080"/>
          <w:sz w:val="28"/>
          <w:szCs w:val="28"/>
        </w:rPr>
      </w:pPr>
      <w:r>
        <w:rPr>
          <w:b/>
          <w:i/>
          <w:color w:val="000080"/>
          <w:sz w:val="28"/>
          <w:szCs w:val="28"/>
        </w:rPr>
        <w:t xml:space="preserve">Holistic implementation ratings indicated the iLit teachers as a group were </w:t>
      </w:r>
      <w:r w:rsidR="00790884">
        <w:rPr>
          <w:b/>
          <w:i/>
          <w:color w:val="000080"/>
          <w:sz w:val="28"/>
          <w:szCs w:val="28"/>
        </w:rPr>
        <w:t>implementing</w:t>
      </w:r>
      <w:r>
        <w:rPr>
          <w:b/>
          <w:i/>
          <w:color w:val="000080"/>
          <w:sz w:val="28"/>
          <w:szCs w:val="28"/>
        </w:rPr>
        <w:t xml:space="preserve"> the program </w:t>
      </w:r>
      <w:r w:rsidR="00FF53E3">
        <w:rPr>
          <w:b/>
          <w:i/>
          <w:color w:val="000080"/>
          <w:sz w:val="28"/>
          <w:szCs w:val="28"/>
        </w:rPr>
        <w:t xml:space="preserve">with medium or high fidelity </w:t>
      </w:r>
      <w:r>
        <w:rPr>
          <w:b/>
          <w:i/>
          <w:color w:val="000080"/>
          <w:sz w:val="28"/>
          <w:szCs w:val="28"/>
        </w:rPr>
        <w:t>in the 2013-14 school year</w:t>
      </w:r>
      <w:r w:rsidR="004E01A6">
        <w:rPr>
          <w:b/>
          <w:i/>
          <w:color w:val="000080"/>
          <w:sz w:val="28"/>
          <w:szCs w:val="28"/>
        </w:rPr>
        <w:t xml:space="preserve">. They continued </w:t>
      </w:r>
      <w:r w:rsidR="00FF53E3">
        <w:rPr>
          <w:b/>
          <w:i/>
          <w:color w:val="000080"/>
          <w:sz w:val="28"/>
          <w:szCs w:val="28"/>
        </w:rPr>
        <w:t>to implement with fidelity</w:t>
      </w:r>
      <w:r w:rsidR="004E01A6">
        <w:rPr>
          <w:b/>
          <w:i/>
          <w:color w:val="000080"/>
          <w:sz w:val="28"/>
          <w:szCs w:val="28"/>
        </w:rPr>
        <w:t xml:space="preserve"> the next school year</w:t>
      </w:r>
      <w:r>
        <w:rPr>
          <w:b/>
          <w:i/>
          <w:color w:val="000080"/>
          <w:sz w:val="28"/>
          <w:szCs w:val="28"/>
        </w:rPr>
        <w:t xml:space="preserve">. </w:t>
      </w:r>
    </w:p>
    <w:p w14:paraId="0B8F7BE5" w14:textId="77777777" w:rsidR="003D244A" w:rsidRDefault="003D244A" w:rsidP="003D7BFE">
      <w:pPr>
        <w:jc w:val="both"/>
      </w:pPr>
    </w:p>
    <w:p w14:paraId="45F5BDF2" w14:textId="73F3D7AF" w:rsidR="00BE5272" w:rsidRDefault="003D244A" w:rsidP="00EF52BE">
      <w:pPr>
        <w:jc w:val="both"/>
        <w:rPr>
          <w:color w:val="000000"/>
        </w:rPr>
      </w:pPr>
      <w:r>
        <w:t>One teacher received overall implementation ratings below five (i.e., average rating = 4).  This was mainly due to one of their observed iLit classrooms not meeting expectations in classroom control and technology implementation.  They did, however, meet expectations on the specific program components.  This teacher and four others (i.e., ratings ranging from 5 to 7) largely met expectations</w:t>
      </w:r>
      <w:r>
        <w:rPr>
          <w:color w:val="000000"/>
        </w:rPr>
        <w:t xml:space="preserve"> on general classroom and specific program component indicators and were consigned to the Medium implementation group.</w:t>
      </w:r>
      <w:r>
        <w:t xml:space="preserve"> Three teachers consistently exceeded expectations and constituted the High implementation group.  These teachers were rated between 8 and 10 on overall implementation ratings.  </w:t>
      </w:r>
      <w:r>
        <w:rPr>
          <w:color w:val="000000"/>
        </w:rPr>
        <w:t xml:space="preserve">The average for overall implementation in 2013-14 was </w:t>
      </w:r>
      <w:r w:rsidR="004E01A6">
        <w:rPr>
          <w:color w:val="000000"/>
        </w:rPr>
        <w:t>6.9</w:t>
      </w:r>
      <w:r>
        <w:rPr>
          <w:color w:val="000000"/>
        </w:rPr>
        <w:t xml:space="preserve">; indicating iLit teachers were as a group implementing the program </w:t>
      </w:r>
      <w:r w:rsidR="00FF53E3">
        <w:rPr>
          <w:color w:val="000000"/>
        </w:rPr>
        <w:t>with fidelity</w:t>
      </w:r>
      <w:r>
        <w:rPr>
          <w:color w:val="000000"/>
        </w:rPr>
        <w:t>.</w:t>
      </w:r>
      <w:r w:rsidR="004E01A6">
        <w:rPr>
          <w:color w:val="000000"/>
        </w:rPr>
        <w:t xml:space="preserve">  The iLit teachers continued </w:t>
      </w:r>
      <w:r w:rsidR="004E01A6">
        <w:rPr>
          <w:color w:val="000000"/>
        </w:rPr>
        <w:lastRenderedPageBreak/>
        <w:t>to</w:t>
      </w:r>
      <w:r w:rsidR="00FF53E3">
        <w:rPr>
          <w:color w:val="000000"/>
        </w:rPr>
        <w:t xml:space="preserve"> </w:t>
      </w:r>
      <w:r w:rsidR="0050199E">
        <w:rPr>
          <w:color w:val="000000"/>
        </w:rPr>
        <w:t>implement</w:t>
      </w:r>
      <w:r w:rsidR="00FF53E3">
        <w:rPr>
          <w:color w:val="000000"/>
        </w:rPr>
        <w:t xml:space="preserve"> well</w:t>
      </w:r>
      <w:r w:rsidR="0050199E">
        <w:rPr>
          <w:color w:val="000000"/>
        </w:rPr>
        <w:t xml:space="preserve"> in 2014-15.  The ove</w:t>
      </w:r>
      <w:r w:rsidR="009A1987">
        <w:rPr>
          <w:color w:val="000000"/>
        </w:rPr>
        <w:t>r</w:t>
      </w:r>
      <w:r w:rsidR="0050199E">
        <w:rPr>
          <w:color w:val="000000"/>
        </w:rPr>
        <w:t xml:space="preserve">all implementation rating averaged </w:t>
      </w:r>
      <w:r w:rsidR="004E01A6">
        <w:rPr>
          <w:color w:val="000000"/>
        </w:rPr>
        <w:t>7.3</w:t>
      </w:r>
      <w:r w:rsidR="0050199E">
        <w:rPr>
          <w:color w:val="000000"/>
        </w:rPr>
        <w:t xml:space="preserve"> </w:t>
      </w:r>
      <w:r w:rsidR="00EF525A">
        <w:rPr>
          <w:color w:val="000000"/>
        </w:rPr>
        <w:t xml:space="preserve">in the second school year </w:t>
      </w:r>
      <w:r w:rsidR="0050199E">
        <w:rPr>
          <w:color w:val="000000"/>
        </w:rPr>
        <w:t>with all teachers given a 6 or higher</w:t>
      </w:r>
      <w:r w:rsidR="004E01A6">
        <w:rPr>
          <w:color w:val="000000"/>
        </w:rPr>
        <w:t>.</w:t>
      </w:r>
      <w:r w:rsidR="00BE5272">
        <w:rPr>
          <w:color w:val="000000"/>
        </w:rPr>
        <w:t xml:space="preserve"> </w:t>
      </w:r>
    </w:p>
    <w:p w14:paraId="2CF4EB95" w14:textId="77777777" w:rsidR="005378EA" w:rsidRDefault="005378EA" w:rsidP="00EF52BE">
      <w:pPr>
        <w:jc w:val="both"/>
        <w:rPr>
          <w:color w:val="000000"/>
        </w:rPr>
      </w:pPr>
    </w:p>
    <w:p w14:paraId="50A21378" w14:textId="77777777" w:rsidR="00DA6445" w:rsidRPr="003D7BFE" w:rsidRDefault="00DA6445" w:rsidP="00DA6445">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74D1C592" w14:textId="77777777" w:rsidR="00DA6445" w:rsidRPr="006967D0" w:rsidRDefault="00DA6445" w:rsidP="00DA6445">
      <w:pPr>
        <w:rPr>
          <w:b/>
          <w:i/>
          <w:color w:val="000080"/>
          <w:sz w:val="28"/>
          <w:szCs w:val="28"/>
          <w:shd w:val="clear" w:color="auto" w:fill="D9D9D9"/>
        </w:rPr>
      </w:pPr>
      <w:r w:rsidRPr="00F06695">
        <w:rPr>
          <w:b/>
          <w:i/>
          <w:color w:val="000080"/>
          <w:sz w:val="28"/>
          <w:szCs w:val="28"/>
        </w:rPr>
        <w:t xml:space="preserve">  </w:t>
      </w:r>
      <w:r>
        <w:rPr>
          <w:b/>
          <w:i/>
          <w:color w:val="000080"/>
          <w:sz w:val="28"/>
          <w:szCs w:val="28"/>
        </w:rPr>
        <w:t>Participants</w:t>
      </w:r>
    </w:p>
    <w:p w14:paraId="2E957038" w14:textId="77777777" w:rsidR="00DA6445" w:rsidRPr="003D7BFE" w:rsidRDefault="00DA6445" w:rsidP="00DA6445">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6A91B193" w14:textId="77777777" w:rsidR="006B1E3A" w:rsidRPr="00C23C10" w:rsidRDefault="006B1E3A" w:rsidP="00504194">
      <w:pPr>
        <w:autoSpaceDE w:val="0"/>
        <w:autoSpaceDN w:val="0"/>
        <w:adjustRightInd w:val="0"/>
      </w:pPr>
    </w:p>
    <w:p w14:paraId="4D16CE5A" w14:textId="47EE0484" w:rsidR="003D244A" w:rsidRPr="003474DB" w:rsidRDefault="00504194" w:rsidP="003D7BFE">
      <w:pPr>
        <w:jc w:val="both"/>
      </w:pPr>
      <w:r w:rsidRPr="00C23C10">
        <w:rPr>
          <w:color w:val="000000"/>
        </w:rPr>
        <w:t>The study sample was diverse and was comprised of 283</w:t>
      </w:r>
      <w:r w:rsidR="00F21530">
        <w:rPr>
          <w:color w:val="000000"/>
        </w:rPr>
        <w:t xml:space="preserve"> </w:t>
      </w:r>
      <w:r w:rsidR="00F21530" w:rsidRPr="00435578">
        <w:t>(</w:t>
      </w:r>
      <w:r w:rsidR="00F21530">
        <w:rPr>
          <w:color w:val="000000"/>
        </w:rPr>
        <w:t>i.e., iLit = 144</w:t>
      </w:r>
      <w:r w:rsidR="00F21530" w:rsidRPr="00435578">
        <w:rPr>
          <w:color w:val="000000"/>
        </w:rPr>
        <w:t xml:space="preserve">, comparison = </w:t>
      </w:r>
      <w:r w:rsidR="00F21530">
        <w:rPr>
          <w:color w:val="000000"/>
        </w:rPr>
        <w:t>13</w:t>
      </w:r>
      <w:r w:rsidR="00F21530" w:rsidRPr="00435578">
        <w:rPr>
          <w:color w:val="000000"/>
        </w:rPr>
        <w:t>9</w:t>
      </w:r>
      <w:r w:rsidR="00F21530">
        <w:rPr>
          <w:color w:val="000000"/>
        </w:rPr>
        <w:t>)</w:t>
      </w:r>
      <w:r w:rsidRPr="00C23C10">
        <w:rPr>
          <w:color w:val="000000"/>
        </w:rPr>
        <w:t xml:space="preserve"> below-grade-level 7</w:t>
      </w:r>
      <w:r w:rsidRPr="00C23C10">
        <w:rPr>
          <w:color w:val="000000"/>
          <w:vertAlign w:val="superscript"/>
        </w:rPr>
        <w:t>th</w:t>
      </w:r>
      <w:r w:rsidRPr="00C23C10">
        <w:rPr>
          <w:color w:val="000000"/>
        </w:rPr>
        <w:t xml:space="preserve"> grade students </w:t>
      </w:r>
      <w:r w:rsidRPr="00C23C10">
        <w:t xml:space="preserve">from six schools, each from a different state (i.e., AZ, CA, CO, MI, NJ, and NY).  </w:t>
      </w:r>
      <w:r w:rsidR="00F21530">
        <w:t xml:space="preserve">By the end of the </w:t>
      </w:r>
      <w:r w:rsidR="005D4860">
        <w:t>first school year 12% of the students left the study (</w:t>
      </w:r>
      <w:r w:rsidR="005D4860">
        <w:rPr>
          <w:color w:val="000000"/>
        </w:rPr>
        <w:t>i.e., iLit = 16</w:t>
      </w:r>
      <w:r w:rsidR="005D4860" w:rsidRPr="00435578">
        <w:rPr>
          <w:color w:val="000000"/>
        </w:rPr>
        <w:t xml:space="preserve">, comparison = </w:t>
      </w:r>
      <w:r w:rsidR="005D4860">
        <w:rPr>
          <w:color w:val="000000"/>
        </w:rPr>
        <w:t>17</w:t>
      </w:r>
      <w:r w:rsidR="005D4860">
        <w:t xml:space="preserve">).  At the end of the </w:t>
      </w:r>
      <w:r w:rsidR="00F21530">
        <w:t xml:space="preserve">second school year 70 or 24.7% </w:t>
      </w:r>
      <w:r w:rsidR="005D4860">
        <w:t>(</w:t>
      </w:r>
      <w:r w:rsidR="005D4860">
        <w:rPr>
          <w:color w:val="000000"/>
        </w:rPr>
        <w:t>i.e., iLit = 30</w:t>
      </w:r>
      <w:r w:rsidR="005D4860" w:rsidRPr="00435578">
        <w:rPr>
          <w:color w:val="000000"/>
        </w:rPr>
        <w:t xml:space="preserve">, comparison = </w:t>
      </w:r>
      <w:r w:rsidR="005D4860">
        <w:rPr>
          <w:color w:val="000000"/>
        </w:rPr>
        <w:t>40</w:t>
      </w:r>
      <w:r w:rsidR="005D4860">
        <w:t xml:space="preserve">) </w:t>
      </w:r>
      <w:r w:rsidR="00F21530">
        <w:t>of the original study</w:t>
      </w:r>
      <w:r w:rsidR="005802D6">
        <w:t xml:space="preserve"> </w:t>
      </w:r>
      <w:r w:rsidR="005802D6" w:rsidRPr="00F01324">
        <w:t xml:space="preserve">students </w:t>
      </w:r>
      <w:r w:rsidR="00F21530" w:rsidRPr="00F01324">
        <w:t xml:space="preserve">either </w:t>
      </w:r>
      <w:r w:rsidR="005802D6" w:rsidRPr="00F01324">
        <w:t>withdrew fr</w:t>
      </w:r>
      <w:r w:rsidR="00F21530" w:rsidRPr="00F01324">
        <w:t xml:space="preserve">om school </w:t>
      </w:r>
      <w:r w:rsidR="00F01324" w:rsidRPr="00F01324">
        <w:t>(i.e., 49</w:t>
      </w:r>
      <w:r w:rsidR="00F01324">
        <w:t>) or</w:t>
      </w:r>
      <w:r w:rsidR="00F01324" w:rsidRPr="00F01324">
        <w:t xml:space="preserve"> exited the study (i.e., 21)</w:t>
      </w:r>
      <w:r w:rsidR="00F21530" w:rsidRPr="00F01324">
        <w:t>.</w:t>
      </w:r>
      <w:r w:rsidR="00F01324" w:rsidRPr="00F01324">
        <w:t xml:space="preserve">  </w:t>
      </w:r>
      <w:r w:rsidR="004A004A" w:rsidRPr="00F01324">
        <w:t>Complete demographic</w:t>
      </w:r>
      <w:r w:rsidR="004A004A">
        <w:t xml:space="preserve"> information was not available for 6% of the study students (i.e., 13 comparison, 4 iLit).</w:t>
      </w:r>
      <w:r w:rsidR="00F21530">
        <w:t xml:space="preserve">  </w:t>
      </w:r>
    </w:p>
    <w:p w14:paraId="7EF731ED" w14:textId="77777777" w:rsidR="00F21530" w:rsidRPr="00435578" w:rsidRDefault="00F21530" w:rsidP="003D7BFE">
      <w:pPr>
        <w:jc w:val="both"/>
      </w:pPr>
    </w:p>
    <w:p w14:paraId="6C434C21" w14:textId="77777777" w:rsidR="003D244A" w:rsidRPr="00A83BB2" w:rsidRDefault="0082504C" w:rsidP="009B33B3">
      <w:pPr>
        <w:jc w:val="both"/>
        <w:rPr>
          <w:b/>
          <w:i/>
          <w:color w:val="000080"/>
          <w:sz w:val="28"/>
          <w:szCs w:val="28"/>
        </w:rPr>
      </w:pPr>
      <w:r w:rsidRPr="0082504C">
        <w:rPr>
          <w:b/>
          <w:i/>
          <w:color w:val="000080"/>
          <w:sz w:val="28"/>
          <w:szCs w:val="28"/>
        </w:rPr>
        <w:t>The study sample consisted of 283</w:t>
      </w:r>
      <w:r w:rsidR="003D244A" w:rsidRPr="0082504C">
        <w:rPr>
          <w:b/>
          <w:i/>
          <w:color w:val="000080"/>
          <w:sz w:val="28"/>
          <w:szCs w:val="28"/>
        </w:rPr>
        <w:t xml:space="preserve"> </w:t>
      </w:r>
      <w:r w:rsidRPr="0082504C">
        <w:rPr>
          <w:b/>
          <w:i/>
          <w:color w:val="000080"/>
          <w:sz w:val="28"/>
          <w:szCs w:val="28"/>
        </w:rPr>
        <w:t xml:space="preserve">below-grade-level </w:t>
      </w:r>
      <w:r w:rsidR="003D244A" w:rsidRPr="0082504C">
        <w:rPr>
          <w:b/>
          <w:i/>
          <w:color w:val="000080"/>
          <w:sz w:val="28"/>
          <w:szCs w:val="28"/>
        </w:rPr>
        <w:t>7</w:t>
      </w:r>
      <w:r w:rsidR="003D244A" w:rsidRPr="0082504C">
        <w:rPr>
          <w:b/>
          <w:i/>
          <w:color w:val="000080"/>
          <w:sz w:val="28"/>
          <w:szCs w:val="28"/>
          <w:vertAlign w:val="superscript"/>
        </w:rPr>
        <w:t>th</w:t>
      </w:r>
      <w:r w:rsidR="003D244A" w:rsidRPr="0082504C">
        <w:rPr>
          <w:b/>
          <w:i/>
          <w:color w:val="000080"/>
          <w:sz w:val="28"/>
          <w:szCs w:val="28"/>
        </w:rPr>
        <w:t xml:space="preserve"> grade students from six schools, each in a different state, located in five different regions of the US.</w:t>
      </w:r>
      <w:r w:rsidR="003D244A" w:rsidRPr="00A83BB2">
        <w:rPr>
          <w:b/>
          <w:i/>
          <w:color w:val="000080"/>
          <w:sz w:val="28"/>
          <w:szCs w:val="28"/>
        </w:rPr>
        <w:tab/>
      </w:r>
    </w:p>
    <w:p w14:paraId="6CCC71B7" w14:textId="77777777" w:rsidR="003D244A" w:rsidRDefault="003D244A" w:rsidP="003D7BFE">
      <w:pPr>
        <w:jc w:val="both"/>
      </w:pPr>
    </w:p>
    <w:p w14:paraId="7A3370B0" w14:textId="56610244" w:rsidR="00CC3E9D" w:rsidRPr="00CC3E9D" w:rsidRDefault="00260B76" w:rsidP="003D7BFE">
      <w:pPr>
        <w:jc w:val="both"/>
        <w:rPr>
          <w:color w:val="000000"/>
        </w:rPr>
      </w:pPr>
      <w:r w:rsidRPr="0082504C">
        <w:t xml:space="preserve">The data in Table </w:t>
      </w:r>
      <w:r w:rsidR="00CA3571">
        <w:t>4</w:t>
      </w:r>
      <w:r w:rsidR="003D244A" w:rsidRPr="0082504C">
        <w:t xml:space="preserve"> provides the demographic breakdown of the study sample.  </w:t>
      </w:r>
      <w:r w:rsidR="003D244A" w:rsidRPr="0082504C">
        <w:rPr>
          <w:color w:val="000000"/>
        </w:rPr>
        <w:t>The</w:t>
      </w:r>
      <w:r w:rsidR="003D244A" w:rsidRPr="0082504C">
        <w:t xml:space="preserve"> study schools </w:t>
      </w:r>
      <w:r w:rsidR="003D244A" w:rsidRPr="00522B75">
        <w:t>demonstrated considerable variation in ethnicity, as well as percentage of students eligible for free or reduced-priced lunch and students that are not English proficient.  As may be expected, the final study sample was largely eligible to receive free or reduced-priced lunch (i.e., iLit</w:t>
      </w:r>
      <w:r w:rsidR="003D244A" w:rsidRPr="00522B75">
        <w:rPr>
          <w:color w:val="000000"/>
        </w:rPr>
        <w:t xml:space="preserve"> = </w:t>
      </w:r>
      <w:r w:rsidR="00522B75" w:rsidRPr="00522B75">
        <w:rPr>
          <w:color w:val="000000"/>
        </w:rPr>
        <w:t>78</w:t>
      </w:r>
      <w:r w:rsidR="003D244A" w:rsidRPr="00522B75">
        <w:rPr>
          <w:color w:val="000000"/>
        </w:rPr>
        <w:t>%, comparison = 81%</w:t>
      </w:r>
      <w:r w:rsidR="003D244A" w:rsidRPr="00522B75">
        <w:t>), had a significant portion not English proficient (i.e., iLit</w:t>
      </w:r>
      <w:r w:rsidR="00522B75" w:rsidRPr="00522B75">
        <w:rPr>
          <w:color w:val="000000"/>
        </w:rPr>
        <w:t xml:space="preserve"> = 24</w:t>
      </w:r>
      <w:r w:rsidR="003D244A" w:rsidRPr="00522B75">
        <w:rPr>
          <w:color w:val="000000"/>
        </w:rPr>
        <w:t xml:space="preserve">%, comparison </w:t>
      </w:r>
      <w:r w:rsidR="003D244A" w:rsidRPr="000303E2">
        <w:rPr>
          <w:color w:val="000000"/>
        </w:rPr>
        <w:t>= 28%</w:t>
      </w:r>
      <w:r w:rsidR="003D244A" w:rsidRPr="000303E2">
        <w:t>), and special education students (i.e., iLit</w:t>
      </w:r>
      <w:r w:rsidR="000303E2" w:rsidRPr="000303E2">
        <w:rPr>
          <w:color w:val="000000"/>
        </w:rPr>
        <w:t xml:space="preserve"> = 14%, comparison = 12</w:t>
      </w:r>
      <w:r w:rsidR="003D244A" w:rsidRPr="000303E2">
        <w:rPr>
          <w:color w:val="000000"/>
        </w:rPr>
        <w:t>%</w:t>
      </w:r>
      <w:r w:rsidR="003D244A" w:rsidRPr="000303E2">
        <w:t>).  The sample was</w:t>
      </w:r>
      <w:r w:rsidR="003D244A" w:rsidRPr="00522B75">
        <w:t xml:space="preserve"> also mostly Hispanic (i.e., iLit </w:t>
      </w:r>
      <w:r w:rsidR="00522B75">
        <w:rPr>
          <w:color w:val="000000"/>
        </w:rPr>
        <w:t>= 55</w:t>
      </w:r>
      <w:r w:rsidR="003D244A" w:rsidRPr="00522B75">
        <w:rPr>
          <w:color w:val="000000"/>
        </w:rPr>
        <w:t>%, comparison = 61%</w:t>
      </w:r>
      <w:r w:rsidR="003D244A" w:rsidRPr="00522B75">
        <w:t xml:space="preserve">) and to a lesser extent Caucasian (i.e., iLit </w:t>
      </w:r>
      <w:r w:rsidR="003D244A" w:rsidRPr="00522B75">
        <w:rPr>
          <w:color w:val="000000"/>
        </w:rPr>
        <w:t>= 23%, comparison = 20%</w:t>
      </w:r>
      <w:r w:rsidR="003D244A" w:rsidRPr="00522B75">
        <w:t xml:space="preserve">) and African American (i.e., iLit </w:t>
      </w:r>
      <w:r w:rsidR="003D244A" w:rsidRPr="00522B75">
        <w:rPr>
          <w:color w:val="000000"/>
        </w:rPr>
        <w:t>= 19%, comparison = 15%</w:t>
      </w:r>
      <w:r w:rsidR="003D244A" w:rsidRPr="00522B75">
        <w:t>).</w:t>
      </w:r>
      <w:r w:rsidR="003D244A" w:rsidRPr="0098561B">
        <w:t xml:space="preserve">  </w:t>
      </w:r>
    </w:p>
    <w:p w14:paraId="4CA78757" w14:textId="33BF3236" w:rsidR="00841CE1" w:rsidRDefault="00841CE1" w:rsidP="00841CE1">
      <w:pPr>
        <w:jc w:val="both"/>
      </w:pPr>
    </w:p>
    <w:p w14:paraId="48F606C7" w14:textId="77777777" w:rsidR="003474DB" w:rsidRDefault="003474DB" w:rsidP="00841CE1">
      <w:pPr>
        <w:jc w:val="both"/>
      </w:pPr>
    </w:p>
    <w:tbl>
      <w:tblPr>
        <w:tblW w:w="10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334"/>
        <w:gridCol w:w="810"/>
        <w:gridCol w:w="990"/>
        <w:gridCol w:w="1080"/>
        <w:gridCol w:w="142"/>
        <w:gridCol w:w="1234"/>
        <w:gridCol w:w="1414"/>
        <w:gridCol w:w="1170"/>
        <w:gridCol w:w="1014"/>
        <w:gridCol w:w="28"/>
        <w:gridCol w:w="1234"/>
        <w:gridCol w:w="270"/>
      </w:tblGrid>
      <w:tr w:rsidR="00841CE1" w14:paraId="0A4FEAD2" w14:textId="77777777" w:rsidTr="002B482F">
        <w:trPr>
          <w:jc w:val="center"/>
        </w:trPr>
        <w:tc>
          <w:tcPr>
            <w:tcW w:w="1028" w:type="dxa"/>
            <w:tcBorders>
              <w:top w:val="single" w:sz="4" w:space="0" w:color="auto"/>
              <w:left w:val="single" w:sz="4" w:space="0" w:color="auto"/>
              <w:bottom w:val="single" w:sz="4" w:space="0" w:color="auto"/>
              <w:right w:val="nil"/>
            </w:tcBorders>
            <w:shd w:val="clear" w:color="auto" w:fill="0000FF"/>
            <w:hideMark/>
          </w:tcPr>
          <w:p w14:paraId="52000572" w14:textId="3B73101A" w:rsidR="00841CE1" w:rsidRPr="00CA3571" w:rsidRDefault="00841CE1" w:rsidP="002B482F">
            <w:pPr>
              <w:spacing w:before="60" w:after="60" w:line="276" w:lineRule="auto"/>
              <w:rPr>
                <w:rFonts w:ascii="Gill Sans MT" w:hAnsi="Gill Sans MT"/>
                <w:color w:val="FFFF99"/>
              </w:rPr>
            </w:pPr>
            <w:r w:rsidRPr="00CA3571">
              <w:rPr>
                <w:rFonts w:ascii="Gill Sans MT" w:hAnsi="Gill Sans MT"/>
                <w:color w:val="FFFF99"/>
              </w:rPr>
              <w:t xml:space="preserve">Table </w:t>
            </w:r>
            <w:r w:rsidR="00CA3571" w:rsidRPr="00CA3571">
              <w:rPr>
                <w:rFonts w:ascii="Gill Sans MT" w:hAnsi="Gill Sans MT"/>
                <w:color w:val="FFFF99"/>
              </w:rPr>
              <w:t>4</w:t>
            </w:r>
          </w:p>
        </w:tc>
        <w:tc>
          <w:tcPr>
            <w:tcW w:w="9720" w:type="dxa"/>
            <w:gridSpan w:val="12"/>
            <w:tcBorders>
              <w:top w:val="single" w:sz="4" w:space="0" w:color="auto"/>
              <w:left w:val="nil"/>
              <w:bottom w:val="single" w:sz="4" w:space="0" w:color="auto"/>
              <w:right w:val="single" w:sz="4" w:space="0" w:color="auto"/>
            </w:tcBorders>
            <w:shd w:val="clear" w:color="auto" w:fill="0000FF"/>
            <w:hideMark/>
          </w:tcPr>
          <w:p w14:paraId="65DDD562" w14:textId="77777777" w:rsidR="00841CE1" w:rsidRPr="00E07B9D" w:rsidRDefault="00841CE1" w:rsidP="002B482F">
            <w:pPr>
              <w:spacing w:before="60" w:after="60" w:line="276" w:lineRule="auto"/>
              <w:jc w:val="center"/>
              <w:rPr>
                <w:rFonts w:ascii="Gill Sans MT" w:hAnsi="Gill Sans MT"/>
                <w:color w:val="FFFF99"/>
              </w:rPr>
            </w:pPr>
            <w:r w:rsidRPr="00E07B9D">
              <w:rPr>
                <w:rFonts w:ascii="Gill Sans MT" w:hAnsi="Gill Sans MT"/>
                <w:color w:val="FFFF99"/>
              </w:rPr>
              <w:t>iLit RCT Sample Demographic Information</w:t>
            </w:r>
          </w:p>
        </w:tc>
      </w:tr>
      <w:tr w:rsidR="00841CE1" w14:paraId="0E132241" w14:textId="77777777" w:rsidTr="002B482F">
        <w:trPr>
          <w:jc w:val="center"/>
        </w:trPr>
        <w:tc>
          <w:tcPr>
            <w:tcW w:w="1362" w:type="dxa"/>
            <w:gridSpan w:val="2"/>
            <w:tcBorders>
              <w:top w:val="single" w:sz="4" w:space="0" w:color="auto"/>
              <w:left w:val="single" w:sz="4" w:space="0" w:color="auto"/>
              <w:bottom w:val="single" w:sz="4" w:space="0" w:color="auto"/>
              <w:right w:val="nil"/>
            </w:tcBorders>
            <w:shd w:val="clear" w:color="auto" w:fill="CCCCCC"/>
            <w:hideMark/>
          </w:tcPr>
          <w:p w14:paraId="36F02214" w14:textId="77777777" w:rsidR="00841CE1" w:rsidRDefault="00841CE1" w:rsidP="002B482F">
            <w:pPr>
              <w:spacing w:before="240"/>
              <w:jc w:val="center"/>
              <w:rPr>
                <w:rFonts w:ascii="Gill Sans MT" w:hAnsi="Gill Sans MT"/>
                <w:sz w:val="20"/>
                <w:szCs w:val="20"/>
              </w:rPr>
            </w:pPr>
            <w:r>
              <w:rPr>
                <w:rFonts w:ascii="Gill Sans MT" w:hAnsi="Gill Sans MT"/>
                <w:sz w:val="20"/>
                <w:szCs w:val="20"/>
              </w:rPr>
              <w:t>Group</w:t>
            </w:r>
          </w:p>
        </w:tc>
        <w:tc>
          <w:tcPr>
            <w:tcW w:w="810" w:type="dxa"/>
            <w:tcBorders>
              <w:top w:val="single" w:sz="4" w:space="0" w:color="auto"/>
              <w:left w:val="nil"/>
              <w:bottom w:val="single" w:sz="4" w:space="0" w:color="auto"/>
              <w:right w:val="nil"/>
            </w:tcBorders>
            <w:shd w:val="clear" w:color="auto" w:fill="CCCCCC"/>
            <w:hideMark/>
          </w:tcPr>
          <w:p w14:paraId="35581E0D" w14:textId="77777777" w:rsidR="00841CE1" w:rsidRDefault="00841CE1" w:rsidP="002B482F">
            <w:pPr>
              <w:spacing w:before="240"/>
              <w:jc w:val="center"/>
              <w:rPr>
                <w:rFonts w:ascii="Gill Sans MT" w:hAnsi="Gill Sans MT"/>
                <w:sz w:val="20"/>
                <w:szCs w:val="20"/>
              </w:rPr>
            </w:pPr>
            <w:r>
              <w:rPr>
                <w:rFonts w:ascii="Gill Sans MT" w:hAnsi="Gill Sans MT"/>
                <w:sz w:val="20"/>
                <w:szCs w:val="20"/>
              </w:rPr>
              <w:t>Grades</w:t>
            </w:r>
          </w:p>
        </w:tc>
        <w:tc>
          <w:tcPr>
            <w:tcW w:w="990" w:type="dxa"/>
            <w:tcBorders>
              <w:top w:val="single" w:sz="4" w:space="0" w:color="auto"/>
              <w:left w:val="nil"/>
              <w:bottom w:val="single" w:sz="4" w:space="0" w:color="auto"/>
              <w:right w:val="nil"/>
            </w:tcBorders>
            <w:shd w:val="clear" w:color="auto" w:fill="CCCCCC"/>
            <w:hideMark/>
          </w:tcPr>
          <w:p w14:paraId="1085A8D3" w14:textId="77777777" w:rsidR="00841CE1" w:rsidRDefault="00841CE1" w:rsidP="002B482F">
            <w:pPr>
              <w:spacing w:before="180"/>
              <w:jc w:val="center"/>
              <w:rPr>
                <w:rFonts w:ascii="Gill Sans MT" w:hAnsi="Gill Sans MT"/>
                <w:sz w:val="20"/>
                <w:szCs w:val="20"/>
              </w:rPr>
            </w:pPr>
            <w:r>
              <w:rPr>
                <w:rFonts w:ascii="Gill Sans MT" w:hAnsi="Gill Sans MT"/>
                <w:sz w:val="20"/>
                <w:szCs w:val="20"/>
              </w:rPr>
              <w:t>Student Count</w:t>
            </w:r>
          </w:p>
        </w:tc>
        <w:tc>
          <w:tcPr>
            <w:tcW w:w="1080" w:type="dxa"/>
            <w:tcBorders>
              <w:top w:val="single" w:sz="4" w:space="0" w:color="auto"/>
              <w:left w:val="nil"/>
              <w:bottom w:val="single" w:sz="4" w:space="0" w:color="auto"/>
              <w:right w:val="nil"/>
            </w:tcBorders>
            <w:shd w:val="clear" w:color="auto" w:fill="CCCCCC"/>
            <w:hideMark/>
          </w:tcPr>
          <w:p w14:paraId="72AA60CB" w14:textId="77777777" w:rsidR="00841CE1" w:rsidRDefault="00841CE1" w:rsidP="002B482F">
            <w:pPr>
              <w:spacing w:before="180"/>
              <w:jc w:val="center"/>
              <w:rPr>
                <w:rFonts w:ascii="Gill Sans MT" w:hAnsi="Gill Sans MT"/>
                <w:sz w:val="20"/>
                <w:szCs w:val="20"/>
              </w:rPr>
            </w:pPr>
            <w:r>
              <w:rPr>
                <w:rFonts w:ascii="Gill Sans MT" w:hAnsi="Gill Sans MT"/>
                <w:sz w:val="20"/>
                <w:szCs w:val="20"/>
              </w:rPr>
              <w:t>Not English Proficient</w:t>
            </w:r>
          </w:p>
        </w:tc>
        <w:tc>
          <w:tcPr>
            <w:tcW w:w="1376" w:type="dxa"/>
            <w:gridSpan w:val="2"/>
            <w:tcBorders>
              <w:top w:val="single" w:sz="4" w:space="0" w:color="auto"/>
              <w:left w:val="nil"/>
              <w:bottom w:val="single" w:sz="4" w:space="0" w:color="auto"/>
              <w:right w:val="nil"/>
            </w:tcBorders>
            <w:shd w:val="clear" w:color="auto" w:fill="CCCCCC"/>
          </w:tcPr>
          <w:p w14:paraId="0D504A27" w14:textId="77777777" w:rsidR="00841CE1" w:rsidRDefault="00841CE1" w:rsidP="002B482F">
            <w:pPr>
              <w:spacing w:before="180"/>
              <w:jc w:val="center"/>
              <w:rPr>
                <w:rFonts w:ascii="Gill Sans MT" w:hAnsi="Gill Sans MT"/>
                <w:sz w:val="20"/>
                <w:szCs w:val="20"/>
              </w:rPr>
            </w:pPr>
            <w:r>
              <w:rPr>
                <w:rFonts w:ascii="Gill Sans MT" w:hAnsi="Gill Sans MT"/>
                <w:sz w:val="20"/>
                <w:szCs w:val="20"/>
              </w:rPr>
              <w:t>Free/Reduced Lunch</w:t>
            </w:r>
          </w:p>
        </w:tc>
        <w:tc>
          <w:tcPr>
            <w:tcW w:w="1414" w:type="dxa"/>
            <w:tcBorders>
              <w:top w:val="single" w:sz="4" w:space="0" w:color="auto"/>
              <w:left w:val="nil"/>
              <w:bottom w:val="single" w:sz="4" w:space="0" w:color="auto"/>
              <w:right w:val="nil"/>
            </w:tcBorders>
            <w:shd w:val="clear" w:color="auto" w:fill="CCCCCC"/>
          </w:tcPr>
          <w:p w14:paraId="5C397E20" w14:textId="77777777" w:rsidR="00841CE1" w:rsidRDefault="00841CE1" w:rsidP="002B482F">
            <w:pPr>
              <w:spacing w:before="180"/>
              <w:jc w:val="center"/>
              <w:rPr>
                <w:rFonts w:ascii="Gill Sans MT" w:hAnsi="Gill Sans MT"/>
                <w:sz w:val="20"/>
                <w:szCs w:val="20"/>
              </w:rPr>
            </w:pPr>
            <w:r>
              <w:rPr>
                <w:rFonts w:ascii="Gill Sans MT" w:hAnsi="Gill Sans MT"/>
                <w:sz w:val="20"/>
                <w:szCs w:val="20"/>
              </w:rPr>
              <w:t>Percent Caucasian</w:t>
            </w:r>
          </w:p>
        </w:tc>
        <w:tc>
          <w:tcPr>
            <w:tcW w:w="1170" w:type="dxa"/>
            <w:tcBorders>
              <w:top w:val="single" w:sz="4" w:space="0" w:color="auto"/>
              <w:left w:val="nil"/>
              <w:bottom w:val="single" w:sz="4" w:space="0" w:color="auto"/>
              <w:right w:val="nil"/>
            </w:tcBorders>
            <w:shd w:val="clear" w:color="auto" w:fill="CCCCCC"/>
          </w:tcPr>
          <w:p w14:paraId="24A8882A" w14:textId="77777777" w:rsidR="00841CE1" w:rsidRDefault="00841CE1" w:rsidP="002B482F">
            <w:pPr>
              <w:spacing w:before="180"/>
              <w:jc w:val="center"/>
              <w:rPr>
                <w:rFonts w:ascii="Gill Sans MT" w:hAnsi="Gill Sans MT"/>
                <w:sz w:val="20"/>
                <w:szCs w:val="20"/>
              </w:rPr>
            </w:pPr>
            <w:r>
              <w:rPr>
                <w:rFonts w:ascii="Gill Sans MT" w:hAnsi="Gill Sans MT"/>
                <w:sz w:val="20"/>
                <w:szCs w:val="20"/>
              </w:rPr>
              <w:t>Percent Hispanic</w:t>
            </w:r>
          </w:p>
        </w:tc>
        <w:tc>
          <w:tcPr>
            <w:tcW w:w="1014" w:type="dxa"/>
            <w:tcBorders>
              <w:top w:val="single" w:sz="4" w:space="0" w:color="auto"/>
              <w:left w:val="nil"/>
              <w:bottom w:val="single" w:sz="4" w:space="0" w:color="auto"/>
              <w:right w:val="nil"/>
            </w:tcBorders>
            <w:shd w:val="clear" w:color="auto" w:fill="CCCCCC"/>
          </w:tcPr>
          <w:p w14:paraId="707C745E" w14:textId="77777777" w:rsidR="00841CE1" w:rsidRDefault="00841CE1" w:rsidP="002B482F">
            <w:pPr>
              <w:spacing w:before="60" w:after="60"/>
              <w:jc w:val="center"/>
              <w:rPr>
                <w:rFonts w:ascii="Gill Sans MT" w:hAnsi="Gill Sans MT"/>
                <w:sz w:val="20"/>
                <w:szCs w:val="20"/>
              </w:rPr>
            </w:pPr>
            <w:r>
              <w:rPr>
                <w:rFonts w:ascii="Gill Sans MT" w:hAnsi="Gill Sans MT"/>
                <w:sz w:val="20"/>
                <w:szCs w:val="20"/>
              </w:rPr>
              <w:t>Percent African American</w:t>
            </w:r>
          </w:p>
        </w:tc>
        <w:tc>
          <w:tcPr>
            <w:tcW w:w="1262" w:type="dxa"/>
            <w:gridSpan w:val="2"/>
            <w:tcBorders>
              <w:top w:val="single" w:sz="4" w:space="0" w:color="auto"/>
              <w:left w:val="nil"/>
              <w:bottom w:val="single" w:sz="4" w:space="0" w:color="auto"/>
              <w:right w:val="nil"/>
            </w:tcBorders>
            <w:shd w:val="clear" w:color="auto" w:fill="CCCCCC"/>
          </w:tcPr>
          <w:p w14:paraId="7189346E" w14:textId="77777777" w:rsidR="00841CE1" w:rsidRDefault="00841CE1" w:rsidP="002B482F">
            <w:pPr>
              <w:spacing w:before="60" w:after="60"/>
              <w:jc w:val="center"/>
              <w:rPr>
                <w:rFonts w:ascii="Gill Sans MT" w:hAnsi="Gill Sans MT"/>
                <w:sz w:val="20"/>
                <w:szCs w:val="20"/>
              </w:rPr>
            </w:pPr>
            <w:r>
              <w:rPr>
                <w:rFonts w:ascii="Gill Sans MT" w:hAnsi="Gill Sans MT"/>
                <w:sz w:val="20"/>
                <w:szCs w:val="20"/>
              </w:rPr>
              <w:t>Other or No Information</w:t>
            </w:r>
          </w:p>
        </w:tc>
        <w:tc>
          <w:tcPr>
            <w:tcW w:w="270" w:type="dxa"/>
            <w:tcBorders>
              <w:top w:val="single" w:sz="4" w:space="0" w:color="auto"/>
              <w:left w:val="nil"/>
              <w:bottom w:val="single" w:sz="4" w:space="0" w:color="auto"/>
              <w:right w:val="single" w:sz="4" w:space="0" w:color="auto"/>
            </w:tcBorders>
            <w:shd w:val="clear" w:color="auto" w:fill="CCCCCC"/>
          </w:tcPr>
          <w:p w14:paraId="37AD4A96" w14:textId="77777777" w:rsidR="00841CE1" w:rsidRDefault="00841CE1" w:rsidP="002B482F">
            <w:pPr>
              <w:spacing w:before="60" w:after="60"/>
              <w:jc w:val="center"/>
              <w:rPr>
                <w:rFonts w:ascii="Gill Sans MT" w:hAnsi="Gill Sans MT"/>
                <w:sz w:val="20"/>
                <w:szCs w:val="20"/>
              </w:rPr>
            </w:pPr>
          </w:p>
        </w:tc>
      </w:tr>
      <w:tr w:rsidR="00841CE1" w14:paraId="52BB1BEA" w14:textId="77777777" w:rsidTr="002B482F">
        <w:trPr>
          <w:jc w:val="center"/>
        </w:trPr>
        <w:tc>
          <w:tcPr>
            <w:tcW w:w="10748" w:type="dxa"/>
            <w:gridSpan w:val="13"/>
            <w:tcBorders>
              <w:top w:val="single" w:sz="4" w:space="0" w:color="auto"/>
              <w:left w:val="single" w:sz="4" w:space="0" w:color="auto"/>
              <w:bottom w:val="single" w:sz="4" w:space="0" w:color="auto"/>
              <w:right w:val="single" w:sz="4" w:space="0" w:color="auto"/>
            </w:tcBorders>
            <w:hideMark/>
          </w:tcPr>
          <w:p w14:paraId="0F15CF37" w14:textId="77777777" w:rsidR="00841CE1" w:rsidRPr="00256C99" w:rsidRDefault="00841CE1" w:rsidP="002B482F">
            <w:pPr>
              <w:spacing w:before="60" w:line="276" w:lineRule="auto"/>
              <w:jc w:val="center"/>
              <w:rPr>
                <w:rFonts w:ascii="Gill Sans MT" w:hAnsi="Gill Sans MT" w:cs="Arial"/>
                <w:sz w:val="20"/>
                <w:szCs w:val="20"/>
                <w:highlight w:val="yellow"/>
              </w:rPr>
            </w:pPr>
            <w:r w:rsidRPr="00B73A8E">
              <w:rPr>
                <w:rFonts w:ascii="Gill Sans MT" w:hAnsi="Gill Sans MT" w:cs="Arial"/>
                <w:sz w:val="20"/>
                <w:szCs w:val="20"/>
              </w:rPr>
              <w:t>Whole Sample</w:t>
            </w:r>
          </w:p>
        </w:tc>
      </w:tr>
      <w:tr w:rsidR="00841CE1" w14:paraId="376F6D43" w14:textId="77777777" w:rsidTr="002B482F">
        <w:trPr>
          <w:jc w:val="center"/>
        </w:trPr>
        <w:tc>
          <w:tcPr>
            <w:tcW w:w="1362" w:type="dxa"/>
            <w:gridSpan w:val="2"/>
            <w:tcBorders>
              <w:top w:val="single" w:sz="4" w:space="0" w:color="auto"/>
              <w:left w:val="single" w:sz="4" w:space="0" w:color="auto"/>
              <w:bottom w:val="single" w:sz="4" w:space="0" w:color="auto"/>
              <w:right w:val="nil"/>
            </w:tcBorders>
            <w:hideMark/>
          </w:tcPr>
          <w:p w14:paraId="6F2ABCEB" w14:textId="77777777" w:rsidR="00841CE1" w:rsidRPr="00B73A8E" w:rsidRDefault="00841CE1" w:rsidP="002B482F">
            <w:pPr>
              <w:spacing w:before="60" w:line="276" w:lineRule="auto"/>
              <w:jc w:val="center"/>
              <w:rPr>
                <w:rFonts w:ascii="Gill Sans MT" w:hAnsi="Gill Sans MT" w:cs="Arial"/>
                <w:sz w:val="20"/>
                <w:szCs w:val="20"/>
              </w:rPr>
            </w:pPr>
            <w:r w:rsidRPr="00B73A8E">
              <w:rPr>
                <w:rFonts w:ascii="Gill Sans MT" w:hAnsi="Gill Sans MT" w:cs="Arial"/>
                <w:sz w:val="20"/>
                <w:szCs w:val="20"/>
              </w:rPr>
              <w:t>iLit</w:t>
            </w:r>
          </w:p>
          <w:p w14:paraId="559E6633" w14:textId="77777777" w:rsidR="00841CE1" w:rsidRPr="00B73A8E" w:rsidRDefault="00841CE1" w:rsidP="002B482F">
            <w:pPr>
              <w:spacing w:before="60" w:line="276" w:lineRule="auto"/>
              <w:jc w:val="center"/>
              <w:rPr>
                <w:rFonts w:ascii="Gill Sans MT" w:hAnsi="Gill Sans MT" w:cs="Arial"/>
                <w:sz w:val="20"/>
                <w:szCs w:val="20"/>
              </w:rPr>
            </w:pPr>
            <w:r w:rsidRPr="00B73A8E">
              <w:rPr>
                <w:rFonts w:ascii="Gill Sans MT" w:hAnsi="Gill Sans MT" w:cs="Arial"/>
                <w:sz w:val="20"/>
                <w:szCs w:val="20"/>
              </w:rPr>
              <w:t>Comparison</w:t>
            </w:r>
          </w:p>
        </w:tc>
        <w:tc>
          <w:tcPr>
            <w:tcW w:w="810" w:type="dxa"/>
            <w:tcBorders>
              <w:top w:val="single" w:sz="4" w:space="0" w:color="auto"/>
              <w:left w:val="nil"/>
              <w:bottom w:val="single" w:sz="4" w:space="0" w:color="auto"/>
              <w:right w:val="nil"/>
            </w:tcBorders>
            <w:hideMark/>
          </w:tcPr>
          <w:p w14:paraId="38C3A2D8" w14:textId="77777777" w:rsidR="00841CE1" w:rsidRPr="00B73A8E" w:rsidRDefault="00841CE1" w:rsidP="002B482F">
            <w:pPr>
              <w:spacing w:before="240" w:line="276" w:lineRule="auto"/>
              <w:jc w:val="center"/>
              <w:rPr>
                <w:rFonts w:ascii="Gill Sans MT" w:hAnsi="Gill Sans MT" w:cs="Arial"/>
                <w:sz w:val="20"/>
                <w:szCs w:val="20"/>
              </w:rPr>
            </w:pPr>
            <w:r>
              <w:rPr>
                <w:rFonts w:ascii="Gill Sans MT" w:hAnsi="Gill Sans MT" w:cs="Arial"/>
                <w:sz w:val="20"/>
                <w:szCs w:val="20"/>
              </w:rPr>
              <w:t>7-8</w:t>
            </w:r>
          </w:p>
        </w:tc>
        <w:tc>
          <w:tcPr>
            <w:tcW w:w="990" w:type="dxa"/>
            <w:tcBorders>
              <w:top w:val="single" w:sz="4" w:space="0" w:color="auto"/>
              <w:left w:val="nil"/>
              <w:bottom w:val="single" w:sz="4" w:space="0" w:color="auto"/>
              <w:right w:val="nil"/>
            </w:tcBorders>
            <w:hideMark/>
          </w:tcPr>
          <w:p w14:paraId="444B1D06"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140</w:t>
            </w:r>
          </w:p>
          <w:p w14:paraId="10A53FE1"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126</w:t>
            </w:r>
          </w:p>
        </w:tc>
        <w:tc>
          <w:tcPr>
            <w:tcW w:w="1222" w:type="dxa"/>
            <w:gridSpan w:val="2"/>
            <w:tcBorders>
              <w:top w:val="single" w:sz="4" w:space="0" w:color="auto"/>
              <w:left w:val="nil"/>
              <w:bottom w:val="single" w:sz="4" w:space="0" w:color="auto"/>
              <w:right w:val="nil"/>
            </w:tcBorders>
            <w:hideMark/>
          </w:tcPr>
          <w:p w14:paraId="2E906644"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24</w:t>
            </w:r>
            <w:r w:rsidRPr="00E07B9D">
              <w:rPr>
                <w:rFonts w:ascii="Gill Sans MT" w:hAnsi="Gill Sans MT" w:cs="Arial"/>
                <w:sz w:val="20"/>
                <w:szCs w:val="20"/>
              </w:rPr>
              <w:t>%</w:t>
            </w:r>
          </w:p>
          <w:p w14:paraId="74B01C23"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28</w:t>
            </w:r>
            <w:r w:rsidRPr="00E07B9D">
              <w:rPr>
                <w:rFonts w:ascii="Gill Sans MT" w:hAnsi="Gill Sans MT" w:cs="Arial"/>
                <w:sz w:val="20"/>
                <w:szCs w:val="20"/>
              </w:rPr>
              <w:t>%</w:t>
            </w:r>
          </w:p>
        </w:tc>
        <w:tc>
          <w:tcPr>
            <w:tcW w:w="1234" w:type="dxa"/>
            <w:tcBorders>
              <w:top w:val="single" w:sz="4" w:space="0" w:color="auto"/>
              <w:left w:val="nil"/>
              <w:bottom w:val="single" w:sz="4" w:space="0" w:color="auto"/>
              <w:right w:val="nil"/>
            </w:tcBorders>
          </w:tcPr>
          <w:p w14:paraId="233457F6"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78</w:t>
            </w:r>
            <w:r w:rsidRPr="00E07B9D">
              <w:rPr>
                <w:rFonts w:ascii="Gill Sans MT" w:hAnsi="Gill Sans MT" w:cs="Arial"/>
                <w:sz w:val="20"/>
                <w:szCs w:val="20"/>
              </w:rPr>
              <w:t>%</w:t>
            </w:r>
          </w:p>
          <w:p w14:paraId="2A1F4BEA"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81</w:t>
            </w:r>
            <w:r w:rsidRPr="00E07B9D">
              <w:rPr>
                <w:rFonts w:ascii="Gill Sans MT" w:hAnsi="Gill Sans MT" w:cs="Arial"/>
                <w:sz w:val="20"/>
                <w:szCs w:val="20"/>
              </w:rPr>
              <w:t>%</w:t>
            </w:r>
          </w:p>
        </w:tc>
        <w:tc>
          <w:tcPr>
            <w:tcW w:w="1414" w:type="dxa"/>
            <w:tcBorders>
              <w:top w:val="single" w:sz="4" w:space="0" w:color="auto"/>
              <w:left w:val="nil"/>
              <w:bottom w:val="single" w:sz="4" w:space="0" w:color="auto"/>
              <w:right w:val="nil"/>
            </w:tcBorders>
          </w:tcPr>
          <w:p w14:paraId="0DB017CB"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23</w:t>
            </w:r>
            <w:r w:rsidRPr="00E07B9D">
              <w:rPr>
                <w:rFonts w:ascii="Gill Sans MT" w:hAnsi="Gill Sans MT" w:cs="Arial"/>
                <w:sz w:val="20"/>
                <w:szCs w:val="20"/>
              </w:rPr>
              <w:t>%</w:t>
            </w:r>
          </w:p>
          <w:p w14:paraId="378D7AAC"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20</w:t>
            </w:r>
            <w:r w:rsidRPr="00E07B9D">
              <w:rPr>
                <w:rFonts w:ascii="Gill Sans MT" w:hAnsi="Gill Sans MT" w:cs="Arial"/>
                <w:sz w:val="20"/>
                <w:szCs w:val="20"/>
              </w:rPr>
              <w:t>%</w:t>
            </w:r>
          </w:p>
        </w:tc>
        <w:tc>
          <w:tcPr>
            <w:tcW w:w="1170" w:type="dxa"/>
            <w:tcBorders>
              <w:top w:val="single" w:sz="4" w:space="0" w:color="auto"/>
              <w:left w:val="nil"/>
              <w:bottom w:val="single" w:sz="4" w:space="0" w:color="auto"/>
              <w:right w:val="nil"/>
            </w:tcBorders>
          </w:tcPr>
          <w:p w14:paraId="49A7ED9A"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55</w:t>
            </w:r>
            <w:r w:rsidRPr="00E07B9D">
              <w:rPr>
                <w:rFonts w:ascii="Gill Sans MT" w:hAnsi="Gill Sans MT" w:cs="Arial"/>
                <w:sz w:val="20"/>
                <w:szCs w:val="20"/>
              </w:rPr>
              <w:t>%</w:t>
            </w:r>
          </w:p>
          <w:p w14:paraId="4A5313F9"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61</w:t>
            </w:r>
            <w:r w:rsidRPr="00E07B9D">
              <w:rPr>
                <w:rFonts w:ascii="Gill Sans MT" w:hAnsi="Gill Sans MT" w:cs="Arial"/>
                <w:sz w:val="20"/>
                <w:szCs w:val="20"/>
              </w:rPr>
              <w:t>%</w:t>
            </w:r>
          </w:p>
        </w:tc>
        <w:tc>
          <w:tcPr>
            <w:tcW w:w="1042" w:type="dxa"/>
            <w:gridSpan w:val="2"/>
            <w:tcBorders>
              <w:top w:val="single" w:sz="4" w:space="0" w:color="auto"/>
              <w:left w:val="nil"/>
              <w:bottom w:val="single" w:sz="4" w:space="0" w:color="auto"/>
              <w:right w:val="nil"/>
            </w:tcBorders>
          </w:tcPr>
          <w:p w14:paraId="703207ED"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18</w:t>
            </w:r>
            <w:r w:rsidRPr="00E07B9D">
              <w:rPr>
                <w:rFonts w:ascii="Gill Sans MT" w:hAnsi="Gill Sans MT" w:cs="Arial"/>
                <w:sz w:val="20"/>
                <w:szCs w:val="20"/>
              </w:rPr>
              <w:t>%</w:t>
            </w:r>
          </w:p>
          <w:p w14:paraId="4A671272"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15</w:t>
            </w:r>
            <w:r w:rsidRPr="00E07B9D">
              <w:rPr>
                <w:rFonts w:ascii="Gill Sans MT" w:hAnsi="Gill Sans MT" w:cs="Arial"/>
                <w:sz w:val="20"/>
                <w:szCs w:val="20"/>
              </w:rPr>
              <w:t>%</w:t>
            </w:r>
          </w:p>
        </w:tc>
        <w:tc>
          <w:tcPr>
            <w:tcW w:w="1234" w:type="dxa"/>
            <w:tcBorders>
              <w:top w:val="single" w:sz="4" w:space="0" w:color="auto"/>
              <w:left w:val="nil"/>
              <w:bottom w:val="single" w:sz="4" w:space="0" w:color="auto"/>
              <w:right w:val="nil"/>
            </w:tcBorders>
          </w:tcPr>
          <w:p w14:paraId="6F3B8949" w14:textId="77777777" w:rsidR="00841CE1" w:rsidRPr="00E07B9D" w:rsidRDefault="00841CE1" w:rsidP="002B482F">
            <w:pPr>
              <w:spacing w:before="60" w:line="276" w:lineRule="auto"/>
              <w:rPr>
                <w:rFonts w:ascii="Gill Sans MT" w:hAnsi="Gill Sans MT" w:cs="Arial"/>
                <w:sz w:val="20"/>
                <w:szCs w:val="20"/>
              </w:rPr>
            </w:pPr>
            <w:r>
              <w:rPr>
                <w:rFonts w:ascii="Gill Sans MT" w:hAnsi="Gill Sans MT" w:cs="Arial"/>
                <w:sz w:val="20"/>
                <w:szCs w:val="20"/>
              </w:rPr>
              <w:t xml:space="preserve">        4</w:t>
            </w:r>
            <w:r w:rsidRPr="00E07B9D">
              <w:rPr>
                <w:rFonts w:ascii="Gill Sans MT" w:hAnsi="Gill Sans MT" w:cs="Arial"/>
                <w:sz w:val="20"/>
                <w:szCs w:val="20"/>
              </w:rPr>
              <w:t>%</w:t>
            </w:r>
          </w:p>
          <w:p w14:paraId="5A0EA89C"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 xml:space="preserve">  4</w:t>
            </w:r>
            <w:r w:rsidRPr="00E07B9D">
              <w:rPr>
                <w:rFonts w:ascii="Gill Sans MT" w:hAnsi="Gill Sans MT" w:cs="Arial"/>
                <w:sz w:val="20"/>
                <w:szCs w:val="20"/>
              </w:rPr>
              <w:t>%</w:t>
            </w:r>
          </w:p>
        </w:tc>
        <w:tc>
          <w:tcPr>
            <w:tcW w:w="270" w:type="dxa"/>
            <w:tcBorders>
              <w:top w:val="single" w:sz="4" w:space="0" w:color="auto"/>
              <w:left w:val="nil"/>
              <w:bottom w:val="single" w:sz="4" w:space="0" w:color="auto"/>
              <w:right w:val="single" w:sz="4" w:space="0" w:color="auto"/>
            </w:tcBorders>
          </w:tcPr>
          <w:p w14:paraId="7F674282" w14:textId="77777777" w:rsidR="00841CE1" w:rsidRPr="00256C99" w:rsidRDefault="00841CE1" w:rsidP="002B482F">
            <w:pPr>
              <w:spacing w:before="60" w:line="276" w:lineRule="auto"/>
              <w:jc w:val="center"/>
              <w:rPr>
                <w:rFonts w:ascii="Gill Sans MT" w:hAnsi="Gill Sans MT" w:cs="Arial"/>
                <w:sz w:val="20"/>
                <w:szCs w:val="20"/>
                <w:highlight w:val="yellow"/>
              </w:rPr>
            </w:pPr>
          </w:p>
        </w:tc>
      </w:tr>
      <w:tr w:rsidR="00841CE1" w14:paraId="75269FE6" w14:textId="77777777" w:rsidTr="002B482F">
        <w:trPr>
          <w:trHeight w:val="100"/>
          <w:jc w:val="center"/>
        </w:trPr>
        <w:tc>
          <w:tcPr>
            <w:tcW w:w="10748" w:type="dxa"/>
            <w:gridSpan w:val="13"/>
            <w:tcBorders>
              <w:top w:val="single" w:sz="4" w:space="0" w:color="auto"/>
              <w:left w:val="single" w:sz="4" w:space="0" w:color="auto"/>
              <w:bottom w:val="single" w:sz="4" w:space="0" w:color="auto"/>
              <w:right w:val="single" w:sz="4" w:space="0" w:color="auto"/>
            </w:tcBorders>
            <w:shd w:val="clear" w:color="auto" w:fill="CCCCCC"/>
          </w:tcPr>
          <w:p w14:paraId="48BF7CE1" w14:textId="77777777" w:rsidR="00841CE1" w:rsidRPr="00E07B9D" w:rsidRDefault="00841CE1" w:rsidP="002B482F">
            <w:pPr>
              <w:spacing w:line="276" w:lineRule="auto"/>
              <w:jc w:val="center"/>
              <w:rPr>
                <w:rFonts w:ascii="Gill Sans MT" w:hAnsi="Gill Sans MT" w:cs="Arial"/>
                <w:sz w:val="8"/>
                <w:szCs w:val="8"/>
              </w:rPr>
            </w:pPr>
          </w:p>
        </w:tc>
      </w:tr>
      <w:tr w:rsidR="00841CE1" w14:paraId="236F5CC4" w14:textId="77777777" w:rsidTr="002B482F">
        <w:trPr>
          <w:trHeight w:val="70"/>
          <w:jc w:val="center"/>
        </w:trPr>
        <w:tc>
          <w:tcPr>
            <w:tcW w:w="10748" w:type="dxa"/>
            <w:gridSpan w:val="13"/>
            <w:tcBorders>
              <w:top w:val="single" w:sz="4" w:space="0" w:color="auto"/>
              <w:left w:val="single" w:sz="4" w:space="0" w:color="auto"/>
              <w:bottom w:val="single" w:sz="4" w:space="0" w:color="auto"/>
              <w:right w:val="single" w:sz="4" w:space="0" w:color="auto"/>
            </w:tcBorders>
            <w:hideMark/>
          </w:tcPr>
          <w:p w14:paraId="65D1246D"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Arizona District</w:t>
            </w:r>
          </w:p>
        </w:tc>
      </w:tr>
      <w:tr w:rsidR="00841CE1" w14:paraId="650F9E83" w14:textId="77777777" w:rsidTr="002B482F">
        <w:trPr>
          <w:jc w:val="center"/>
        </w:trPr>
        <w:tc>
          <w:tcPr>
            <w:tcW w:w="1362" w:type="dxa"/>
            <w:gridSpan w:val="2"/>
            <w:tcBorders>
              <w:top w:val="single" w:sz="4" w:space="0" w:color="auto"/>
              <w:left w:val="single" w:sz="4" w:space="0" w:color="auto"/>
              <w:bottom w:val="single" w:sz="4" w:space="0" w:color="auto"/>
              <w:right w:val="nil"/>
            </w:tcBorders>
            <w:hideMark/>
          </w:tcPr>
          <w:p w14:paraId="024685A7" w14:textId="77777777" w:rsidR="00841CE1" w:rsidRPr="00B73A8E" w:rsidRDefault="00841CE1" w:rsidP="002B482F">
            <w:pPr>
              <w:spacing w:before="60" w:line="276" w:lineRule="auto"/>
              <w:jc w:val="center"/>
              <w:rPr>
                <w:rFonts w:ascii="Gill Sans MT" w:hAnsi="Gill Sans MT" w:cs="Arial"/>
                <w:sz w:val="20"/>
                <w:szCs w:val="20"/>
              </w:rPr>
            </w:pPr>
            <w:r w:rsidRPr="00B73A8E">
              <w:rPr>
                <w:rFonts w:ascii="Gill Sans MT" w:hAnsi="Gill Sans MT" w:cs="Arial"/>
                <w:sz w:val="20"/>
                <w:szCs w:val="20"/>
              </w:rPr>
              <w:t>iLit</w:t>
            </w:r>
          </w:p>
          <w:p w14:paraId="6681FEDA" w14:textId="77777777" w:rsidR="00841CE1" w:rsidRPr="00B73A8E" w:rsidRDefault="00841CE1" w:rsidP="002B482F">
            <w:pPr>
              <w:spacing w:before="60" w:line="276" w:lineRule="auto"/>
              <w:jc w:val="center"/>
              <w:rPr>
                <w:rFonts w:ascii="Gill Sans MT" w:hAnsi="Gill Sans MT" w:cs="Arial"/>
                <w:sz w:val="20"/>
                <w:szCs w:val="20"/>
              </w:rPr>
            </w:pPr>
            <w:r w:rsidRPr="00B73A8E">
              <w:rPr>
                <w:rFonts w:ascii="Gill Sans MT" w:hAnsi="Gill Sans MT" w:cs="Arial"/>
                <w:sz w:val="20"/>
                <w:szCs w:val="20"/>
              </w:rPr>
              <w:t>Comparison</w:t>
            </w:r>
          </w:p>
        </w:tc>
        <w:tc>
          <w:tcPr>
            <w:tcW w:w="810" w:type="dxa"/>
            <w:tcBorders>
              <w:top w:val="single" w:sz="4" w:space="0" w:color="auto"/>
              <w:left w:val="nil"/>
              <w:bottom w:val="single" w:sz="4" w:space="0" w:color="auto"/>
              <w:right w:val="nil"/>
            </w:tcBorders>
            <w:hideMark/>
          </w:tcPr>
          <w:p w14:paraId="241AF154" w14:textId="77777777" w:rsidR="00841CE1" w:rsidRPr="00B73A8E" w:rsidRDefault="00841CE1" w:rsidP="002B482F">
            <w:pPr>
              <w:spacing w:before="240" w:line="276" w:lineRule="auto"/>
              <w:jc w:val="center"/>
              <w:rPr>
                <w:rFonts w:ascii="Gill Sans MT" w:hAnsi="Gill Sans MT" w:cs="Arial"/>
                <w:sz w:val="20"/>
                <w:szCs w:val="20"/>
              </w:rPr>
            </w:pPr>
            <w:r>
              <w:rPr>
                <w:rFonts w:ascii="Gill Sans MT" w:hAnsi="Gill Sans MT" w:cs="Arial"/>
                <w:sz w:val="20"/>
                <w:szCs w:val="20"/>
              </w:rPr>
              <w:t>7-8</w:t>
            </w:r>
          </w:p>
        </w:tc>
        <w:tc>
          <w:tcPr>
            <w:tcW w:w="990" w:type="dxa"/>
            <w:tcBorders>
              <w:top w:val="single" w:sz="4" w:space="0" w:color="auto"/>
              <w:left w:val="nil"/>
              <w:bottom w:val="single" w:sz="4" w:space="0" w:color="auto"/>
              <w:right w:val="nil"/>
            </w:tcBorders>
            <w:hideMark/>
          </w:tcPr>
          <w:p w14:paraId="38A8DEDC"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30</w:t>
            </w:r>
          </w:p>
          <w:p w14:paraId="417A725E"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30</w:t>
            </w:r>
          </w:p>
        </w:tc>
        <w:tc>
          <w:tcPr>
            <w:tcW w:w="1222" w:type="dxa"/>
            <w:gridSpan w:val="2"/>
            <w:tcBorders>
              <w:top w:val="single" w:sz="4" w:space="0" w:color="auto"/>
              <w:left w:val="nil"/>
              <w:bottom w:val="single" w:sz="4" w:space="0" w:color="auto"/>
              <w:right w:val="nil"/>
            </w:tcBorders>
            <w:hideMark/>
          </w:tcPr>
          <w:p w14:paraId="11824ED4"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37</w:t>
            </w:r>
            <w:r w:rsidRPr="00E07B9D">
              <w:rPr>
                <w:rFonts w:ascii="Gill Sans MT" w:hAnsi="Gill Sans MT" w:cs="Arial"/>
                <w:sz w:val="20"/>
                <w:szCs w:val="20"/>
              </w:rPr>
              <w:t>%</w:t>
            </w:r>
          </w:p>
          <w:p w14:paraId="4F16C3DA"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27</w:t>
            </w:r>
            <w:r w:rsidRPr="00E07B9D">
              <w:rPr>
                <w:rFonts w:ascii="Gill Sans MT" w:hAnsi="Gill Sans MT" w:cs="Arial"/>
                <w:sz w:val="20"/>
                <w:szCs w:val="20"/>
              </w:rPr>
              <w:t>%</w:t>
            </w:r>
          </w:p>
        </w:tc>
        <w:tc>
          <w:tcPr>
            <w:tcW w:w="1234" w:type="dxa"/>
            <w:tcBorders>
              <w:top w:val="single" w:sz="4" w:space="0" w:color="auto"/>
              <w:left w:val="nil"/>
              <w:bottom w:val="single" w:sz="4" w:space="0" w:color="auto"/>
              <w:right w:val="nil"/>
            </w:tcBorders>
          </w:tcPr>
          <w:p w14:paraId="37645BCF"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100%</w:t>
            </w:r>
          </w:p>
          <w:p w14:paraId="2022F755"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97</w:t>
            </w:r>
            <w:r w:rsidRPr="00E07B9D">
              <w:rPr>
                <w:rFonts w:ascii="Gill Sans MT" w:hAnsi="Gill Sans MT" w:cs="Arial"/>
                <w:sz w:val="20"/>
                <w:szCs w:val="20"/>
              </w:rPr>
              <w:t>%</w:t>
            </w:r>
          </w:p>
        </w:tc>
        <w:tc>
          <w:tcPr>
            <w:tcW w:w="1414" w:type="dxa"/>
            <w:tcBorders>
              <w:top w:val="single" w:sz="4" w:space="0" w:color="auto"/>
              <w:left w:val="nil"/>
              <w:bottom w:val="single" w:sz="4" w:space="0" w:color="auto"/>
              <w:right w:val="nil"/>
            </w:tcBorders>
          </w:tcPr>
          <w:p w14:paraId="78773744"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0%</w:t>
            </w:r>
          </w:p>
          <w:p w14:paraId="10901F2C"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3</w:t>
            </w:r>
            <w:r w:rsidRPr="00E07B9D">
              <w:rPr>
                <w:rFonts w:ascii="Gill Sans MT" w:hAnsi="Gill Sans MT" w:cs="Arial"/>
                <w:sz w:val="20"/>
                <w:szCs w:val="20"/>
              </w:rPr>
              <w:t>%</w:t>
            </w:r>
          </w:p>
        </w:tc>
        <w:tc>
          <w:tcPr>
            <w:tcW w:w="1170" w:type="dxa"/>
            <w:tcBorders>
              <w:top w:val="single" w:sz="4" w:space="0" w:color="auto"/>
              <w:left w:val="nil"/>
              <w:bottom w:val="single" w:sz="4" w:space="0" w:color="auto"/>
              <w:right w:val="nil"/>
            </w:tcBorders>
          </w:tcPr>
          <w:p w14:paraId="04088B04"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100%</w:t>
            </w:r>
          </w:p>
          <w:p w14:paraId="56C9DC7D"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97</w:t>
            </w:r>
            <w:r w:rsidRPr="00E07B9D">
              <w:rPr>
                <w:rFonts w:ascii="Gill Sans MT" w:hAnsi="Gill Sans MT" w:cs="Arial"/>
                <w:sz w:val="20"/>
                <w:szCs w:val="20"/>
              </w:rPr>
              <w:t>%</w:t>
            </w:r>
          </w:p>
        </w:tc>
        <w:tc>
          <w:tcPr>
            <w:tcW w:w="1042" w:type="dxa"/>
            <w:gridSpan w:val="2"/>
            <w:tcBorders>
              <w:top w:val="single" w:sz="4" w:space="0" w:color="auto"/>
              <w:left w:val="nil"/>
              <w:bottom w:val="single" w:sz="4" w:space="0" w:color="auto"/>
              <w:right w:val="nil"/>
            </w:tcBorders>
          </w:tcPr>
          <w:p w14:paraId="191C7E8E"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0%</w:t>
            </w:r>
          </w:p>
          <w:p w14:paraId="752FCA93"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0%</w:t>
            </w:r>
          </w:p>
        </w:tc>
        <w:tc>
          <w:tcPr>
            <w:tcW w:w="1234" w:type="dxa"/>
            <w:tcBorders>
              <w:top w:val="single" w:sz="4" w:space="0" w:color="auto"/>
              <w:left w:val="nil"/>
              <w:bottom w:val="single" w:sz="4" w:space="0" w:color="auto"/>
              <w:right w:val="nil"/>
            </w:tcBorders>
          </w:tcPr>
          <w:p w14:paraId="457B640F" w14:textId="77777777" w:rsidR="00841CE1" w:rsidRPr="00E07B9D" w:rsidRDefault="00841CE1" w:rsidP="002B482F">
            <w:pPr>
              <w:spacing w:before="60" w:line="276" w:lineRule="auto"/>
              <w:rPr>
                <w:rFonts w:ascii="Gill Sans MT" w:hAnsi="Gill Sans MT" w:cs="Arial"/>
                <w:sz w:val="20"/>
                <w:szCs w:val="20"/>
              </w:rPr>
            </w:pPr>
            <w:r w:rsidRPr="00E07B9D">
              <w:rPr>
                <w:rFonts w:ascii="Gill Sans MT" w:hAnsi="Gill Sans MT" w:cs="Arial"/>
                <w:sz w:val="20"/>
                <w:szCs w:val="20"/>
              </w:rPr>
              <w:t xml:space="preserve">       0%</w:t>
            </w:r>
          </w:p>
          <w:p w14:paraId="29BA7AA1"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0</w:t>
            </w:r>
            <w:r w:rsidRPr="00E07B9D">
              <w:rPr>
                <w:rFonts w:ascii="Gill Sans MT" w:hAnsi="Gill Sans MT" w:cs="Arial"/>
                <w:sz w:val="20"/>
                <w:szCs w:val="20"/>
              </w:rPr>
              <w:t>%</w:t>
            </w:r>
          </w:p>
        </w:tc>
        <w:tc>
          <w:tcPr>
            <w:tcW w:w="270" w:type="dxa"/>
            <w:tcBorders>
              <w:top w:val="single" w:sz="4" w:space="0" w:color="auto"/>
              <w:left w:val="nil"/>
              <w:bottom w:val="single" w:sz="4" w:space="0" w:color="auto"/>
              <w:right w:val="single" w:sz="4" w:space="0" w:color="auto"/>
            </w:tcBorders>
          </w:tcPr>
          <w:p w14:paraId="71FF2A88" w14:textId="77777777" w:rsidR="00841CE1" w:rsidRPr="00B73A8E" w:rsidRDefault="00841CE1" w:rsidP="002B482F">
            <w:pPr>
              <w:spacing w:before="60" w:line="276" w:lineRule="auto"/>
              <w:jc w:val="center"/>
              <w:rPr>
                <w:rFonts w:ascii="Gill Sans MT" w:hAnsi="Gill Sans MT" w:cs="Arial"/>
                <w:sz w:val="20"/>
                <w:szCs w:val="20"/>
              </w:rPr>
            </w:pPr>
          </w:p>
        </w:tc>
      </w:tr>
      <w:tr w:rsidR="00841CE1" w14:paraId="0D98EDAB" w14:textId="77777777" w:rsidTr="002B482F">
        <w:trPr>
          <w:jc w:val="center"/>
        </w:trPr>
        <w:tc>
          <w:tcPr>
            <w:tcW w:w="10748" w:type="dxa"/>
            <w:gridSpan w:val="13"/>
            <w:tcBorders>
              <w:top w:val="single" w:sz="4" w:space="0" w:color="auto"/>
              <w:left w:val="single" w:sz="4" w:space="0" w:color="auto"/>
              <w:bottom w:val="single" w:sz="4" w:space="0" w:color="auto"/>
              <w:right w:val="single" w:sz="4" w:space="0" w:color="auto"/>
            </w:tcBorders>
            <w:shd w:val="clear" w:color="auto" w:fill="CCCCCC"/>
          </w:tcPr>
          <w:p w14:paraId="2340F237" w14:textId="77777777" w:rsidR="00841CE1" w:rsidRPr="00E07B9D" w:rsidRDefault="00841CE1" w:rsidP="002B482F">
            <w:pPr>
              <w:spacing w:line="276" w:lineRule="auto"/>
              <w:jc w:val="center"/>
              <w:rPr>
                <w:rFonts w:ascii="Gill Sans MT" w:hAnsi="Gill Sans MT" w:cs="Arial"/>
                <w:sz w:val="8"/>
                <w:szCs w:val="8"/>
              </w:rPr>
            </w:pPr>
          </w:p>
        </w:tc>
      </w:tr>
      <w:tr w:rsidR="00841CE1" w14:paraId="0EFFC02C" w14:textId="77777777" w:rsidTr="002B482F">
        <w:trPr>
          <w:jc w:val="center"/>
        </w:trPr>
        <w:tc>
          <w:tcPr>
            <w:tcW w:w="10748" w:type="dxa"/>
            <w:gridSpan w:val="13"/>
            <w:tcBorders>
              <w:top w:val="single" w:sz="4" w:space="0" w:color="auto"/>
              <w:left w:val="single" w:sz="4" w:space="0" w:color="auto"/>
              <w:bottom w:val="single" w:sz="4" w:space="0" w:color="auto"/>
              <w:right w:val="single" w:sz="4" w:space="0" w:color="auto"/>
            </w:tcBorders>
            <w:hideMark/>
          </w:tcPr>
          <w:p w14:paraId="3EE269C0"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California District</w:t>
            </w:r>
          </w:p>
        </w:tc>
      </w:tr>
      <w:tr w:rsidR="00841CE1" w14:paraId="3B904E50" w14:textId="77777777" w:rsidTr="002B482F">
        <w:trPr>
          <w:jc w:val="center"/>
        </w:trPr>
        <w:tc>
          <w:tcPr>
            <w:tcW w:w="1362" w:type="dxa"/>
            <w:gridSpan w:val="2"/>
            <w:tcBorders>
              <w:top w:val="single" w:sz="4" w:space="0" w:color="auto"/>
              <w:left w:val="single" w:sz="4" w:space="0" w:color="auto"/>
              <w:bottom w:val="single" w:sz="4" w:space="0" w:color="auto"/>
              <w:right w:val="nil"/>
            </w:tcBorders>
            <w:hideMark/>
          </w:tcPr>
          <w:p w14:paraId="047C0E29" w14:textId="77777777" w:rsidR="00841CE1" w:rsidRPr="00260143" w:rsidRDefault="00841CE1" w:rsidP="002B482F">
            <w:pPr>
              <w:spacing w:before="60" w:line="276" w:lineRule="auto"/>
              <w:jc w:val="center"/>
              <w:rPr>
                <w:rFonts w:ascii="Gill Sans MT" w:hAnsi="Gill Sans MT" w:cs="Arial"/>
                <w:sz w:val="20"/>
                <w:szCs w:val="20"/>
              </w:rPr>
            </w:pPr>
            <w:r w:rsidRPr="00260143">
              <w:rPr>
                <w:rFonts w:ascii="Gill Sans MT" w:hAnsi="Gill Sans MT" w:cs="Arial"/>
                <w:sz w:val="20"/>
                <w:szCs w:val="20"/>
              </w:rPr>
              <w:t>iLit</w:t>
            </w:r>
          </w:p>
          <w:p w14:paraId="2637FAE3" w14:textId="77777777" w:rsidR="00841CE1" w:rsidRPr="00260143" w:rsidRDefault="00841CE1" w:rsidP="002B482F">
            <w:pPr>
              <w:spacing w:before="60" w:line="276" w:lineRule="auto"/>
              <w:jc w:val="center"/>
              <w:rPr>
                <w:rFonts w:ascii="Gill Sans MT" w:hAnsi="Gill Sans MT" w:cs="Arial"/>
                <w:sz w:val="20"/>
                <w:szCs w:val="20"/>
              </w:rPr>
            </w:pPr>
            <w:r w:rsidRPr="00260143">
              <w:rPr>
                <w:rFonts w:ascii="Gill Sans MT" w:hAnsi="Gill Sans MT" w:cs="Arial"/>
                <w:sz w:val="20"/>
                <w:szCs w:val="20"/>
              </w:rPr>
              <w:t>Comparison</w:t>
            </w:r>
          </w:p>
        </w:tc>
        <w:tc>
          <w:tcPr>
            <w:tcW w:w="810" w:type="dxa"/>
            <w:tcBorders>
              <w:top w:val="single" w:sz="4" w:space="0" w:color="auto"/>
              <w:left w:val="nil"/>
              <w:bottom w:val="single" w:sz="4" w:space="0" w:color="auto"/>
              <w:right w:val="nil"/>
            </w:tcBorders>
            <w:hideMark/>
          </w:tcPr>
          <w:p w14:paraId="4CA08E96" w14:textId="77777777" w:rsidR="00841CE1" w:rsidRPr="00B73A8E" w:rsidRDefault="00841CE1" w:rsidP="002B482F">
            <w:pPr>
              <w:spacing w:before="240" w:line="276" w:lineRule="auto"/>
              <w:jc w:val="center"/>
              <w:rPr>
                <w:rFonts w:ascii="Gill Sans MT" w:hAnsi="Gill Sans MT" w:cs="Arial"/>
                <w:sz w:val="20"/>
                <w:szCs w:val="20"/>
              </w:rPr>
            </w:pPr>
            <w:r>
              <w:rPr>
                <w:rFonts w:ascii="Gill Sans MT" w:hAnsi="Gill Sans MT" w:cs="Arial"/>
                <w:sz w:val="20"/>
                <w:szCs w:val="20"/>
              </w:rPr>
              <w:t>7-8</w:t>
            </w:r>
          </w:p>
        </w:tc>
        <w:tc>
          <w:tcPr>
            <w:tcW w:w="990" w:type="dxa"/>
            <w:tcBorders>
              <w:top w:val="single" w:sz="4" w:space="0" w:color="auto"/>
              <w:left w:val="nil"/>
              <w:bottom w:val="single" w:sz="4" w:space="0" w:color="auto"/>
              <w:right w:val="nil"/>
            </w:tcBorders>
            <w:hideMark/>
          </w:tcPr>
          <w:p w14:paraId="468AEC34"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17</w:t>
            </w:r>
          </w:p>
          <w:p w14:paraId="5A946D51"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10</w:t>
            </w:r>
          </w:p>
        </w:tc>
        <w:tc>
          <w:tcPr>
            <w:tcW w:w="1222" w:type="dxa"/>
            <w:gridSpan w:val="2"/>
            <w:tcBorders>
              <w:top w:val="single" w:sz="4" w:space="0" w:color="auto"/>
              <w:left w:val="nil"/>
              <w:bottom w:val="single" w:sz="4" w:space="0" w:color="auto"/>
              <w:right w:val="nil"/>
            </w:tcBorders>
            <w:hideMark/>
          </w:tcPr>
          <w:p w14:paraId="0B32A1E2"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6</w:t>
            </w:r>
            <w:r w:rsidRPr="00E07B9D">
              <w:rPr>
                <w:rFonts w:ascii="Gill Sans MT" w:hAnsi="Gill Sans MT" w:cs="Arial"/>
                <w:sz w:val="20"/>
                <w:szCs w:val="20"/>
              </w:rPr>
              <w:t>%</w:t>
            </w:r>
          </w:p>
          <w:p w14:paraId="30790C55"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0%</w:t>
            </w:r>
          </w:p>
        </w:tc>
        <w:tc>
          <w:tcPr>
            <w:tcW w:w="1234" w:type="dxa"/>
            <w:tcBorders>
              <w:top w:val="single" w:sz="4" w:space="0" w:color="auto"/>
              <w:left w:val="nil"/>
              <w:bottom w:val="single" w:sz="4" w:space="0" w:color="auto"/>
              <w:right w:val="nil"/>
            </w:tcBorders>
          </w:tcPr>
          <w:p w14:paraId="2EDAD952"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65</w:t>
            </w:r>
            <w:r w:rsidRPr="00E07B9D">
              <w:rPr>
                <w:rFonts w:ascii="Gill Sans MT" w:hAnsi="Gill Sans MT" w:cs="Arial"/>
                <w:sz w:val="20"/>
                <w:szCs w:val="20"/>
              </w:rPr>
              <w:t>%</w:t>
            </w:r>
          </w:p>
          <w:p w14:paraId="1CCFDA5C"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6</w:t>
            </w:r>
            <w:r w:rsidRPr="00E07B9D">
              <w:rPr>
                <w:rFonts w:ascii="Gill Sans MT" w:hAnsi="Gill Sans MT" w:cs="Arial"/>
                <w:sz w:val="20"/>
                <w:szCs w:val="20"/>
              </w:rPr>
              <w:t>0%</w:t>
            </w:r>
          </w:p>
        </w:tc>
        <w:tc>
          <w:tcPr>
            <w:tcW w:w="1414" w:type="dxa"/>
            <w:tcBorders>
              <w:top w:val="single" w:sz="4" w:space="0" w:color="auto"/>
              <w:left w:val="nil"/>
              <w:bottom w:val="single" w:sz="4" w:space="0" w:color="auto"/>
              <w:right w:val="nil"/>
            </w:tcBorders>
          </w:tcPr>
          <w:p w14:paraId="6CF8BE68"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18</w:t>
            </w:r>
            <w:r w:rsidRPr="00E07B9D">
              <w:rPr>
                <w:rFonts w:ascii="Gill Sans MT" w:hAnsi="Gill Sans MT" w:cs="Arial"/>
                <w:sz w:val="20"/>
                <w:szCs w:val="20"/>
              </w:rPr>
              <w:t>%</w:t>
            </w:r>
          </w:p>
          <w:p w14:paraId="1DAD8475"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1</w:t>
            </w:r>
            <w:r w:rsidRPr="00E07B9D">
              <w:rPr>
                <w:rFonts w:ascii="Gill Sans MT" w:hAnsi="Gill Sans MT" w:cs="Arial"/>
                <w:sz w:val="20"/>
                <w:szCs w:val="20"/>
              </w:rPr>
              <w:t>0%</w:t>
            </w:r>
          </w:p>
        </w:tc>
        <w:tc>
          <w:tcPr>
            <w:tcW w:w="1170" w:type="dxa"/>
            <w:tcBorders>
              <w:top w:val="single" w:sz="4" w:space="0" w:color="auto"/>
              <w:left w:val="nil"/>
              <w:bottom w:val="single" w:sz="4" w:space="0" w:color="auto"/>
              <w:right w:val="nil"/>
            </w:tcBorders>
          </w:tcPr>
          <w:p w14:paraId="24BF4CE7"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47</w:t>
            </w:r>
            <w:r w:rsidRPr="00E07B9D">
              <w:rPr>
                <w:rFonts w:ascii="Gill Sans MT" w:hAnsi="Gill Sans MT" w:cs="Arial"/>
                <w:sz w:val="20"/>
                <w:szCs w:val="20"/>
              </w:rPr>
              <w:t>%</w:t>
            </w:r>
          </w:p>
          <w:p w14:paraId="59F60FEF"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60%</w:t>
            </w:r>
          </w:p>
        </w:tc>
        <w:tc>
          <w:tcPr>
            <w:tcW w:w="1042" w:type="dxa"/>
            <w:gridSpan w:val="2"/>
            <w:tcBorders>
              <w:top w:val="single" w:sz="4" w:space="0" w:color="auto"/>
              <w:left w:val="nil"/>
              <w:bottom w:val="single" w:sz="4" w:space="0" w:color="auto"/>
              <w:right w:val="nil"/>
            </w:tcBorders>
          </w:tcPr>
          <w:p w14:paraId="4FCE31BE"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6</w:t>
            </w:r>
            <w:r w:rsidRPr="00E07B9D">
              <w:rPr>
                <w:rFonts w:ascii="Gill Sans MT" w:hAnsi="Gill Sans MT" w:cs="Arial"/>
                <w:sz w:val="20"/>
                <w:szCs w:val="20"/>
              </w:rPr>
              <w:t>%</w:t>
            </w:r>
          </w:p>
          <w:p w14:paraId="345731C5"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1</w:t>
            </w:r>
            <w:r w:rsidRPr="00E07B9D">
              <w:rPr>
                <w:rFonts w:ascii="Gill Sans MT" w:hAnsi="Gill Sans MT" w:cs="Arial"/>
                <w:sz w:val="20"/>
                <w:szCs w:val="20"/>
              </w:rPr>
              <w:t>0%</w:t>
            </w:r>
          </w:p>
        </w:tc>
        <w:tc>
          <w:tcPr>
            <w:tcW w:w="1234" w:type="dxa"/>
            <w:tcBorders>
              <w:top w:val="single" w:sz="4" w:space="0" w:color="auto"/>
              <w:left w:val="nil"/>
              <w:bottom w:val="single" w:sz="4" w:space="0" w:color="auto"/>
              <w:right w:val="nil"/>
            </w:tcBorders>
          </w:tcPr>
          <w:p w14:paraId="101D340D"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29%</w:t>
            </w:r>
          </w:p>
          <w:p w14:paraId="4B629643"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2</w:t>
            </w:r>
            <w:r w:rsidRPr="00E07B9D">
              <w:rPr>
                <w:rFonts w:ascii="Gill Sans MT" w:hAnsi="Gill Sans MT" w:cs="Arial"/>
                <w:sz w:val="20"/>
                <w:szCs w:val="20"/>
              </w:rPr>
              <w:t>0%</w:t>
            </w:r>
          </w:p>
        </w:tc>
        <w:tc>
          <w:tcPr>
            <w:tcW w:w="270" w:type="dxa"/>
            <w:tcBorders>
              <w:top w:val="single" w:sz="4" w:space="0" w:color="auto"/>
              <w:left w:val="nil"/>
              <w:bottom w:val="single" w:sz="4" w:space="0" w:color="auto"/>
              <w:right w:val="single" w:sz="4" w:space="0" w:color="auto"/>
            </w:tcBorders>
          </w:tcPr>
          <w:p w14:paraId="202B6361" w14:textId="77777777" w:rsidR="00841CE1" w:rsidRPr="00260143" w:rsidRDefault="00841CE1" w:rsidP="002B482F">
            <w:pPr>
              <w:spacing w:before="60" w:line="276" w:lineRule="auto"/>
              <w:jc w:val="center"/>
              <w:rPr>
                <w:rFonts w:ascii="Gill Sans MT" w:hAnsi="Gill Sans MT" w:cs="Arial"/>
                <w:sz w:val="20"/>
                <w:szCs w:val="20"/>
              </w:rPr>
            </w:pPr>
          </w:p>
        </w:tc>
      </w:tr>
      <w:tr w:rsidR="00841CE1" w14:paraId="246919BF" w14:textId="77777777" w:rsidTr="002B482F">
        <w:trPr>
          <w:jc w:val="center"/>
        </w:trPr>
        <w:tc>
          <w:tcPr>
            <w:tcW w:w="10748" w:type="dxa"/>
            <w:gridSpan w:val="13"/>
            <w:tcBorders>
              <w:top w:val="single" w:sz="4" w:space="0" w:color="auto"/>
              <w:left w:val="single" w:sz="4" w:space="0" w:color="auto"/>
              <w:bottom w:val="single" w:sz="4" w:space="0" w:color="auto"/>
              <w:right w:val="single" w:sz="4" w:space="0" w:color="auto"/>
            </w:tcBorders>
            <w:shd w:val="clear" w:color="auto" w:fill="CCCCCC"/>
          </w:tcPr>
          <w:p w14:paraId="2A19373E" w14:textId="77777777" w:rsidR="00841CE1" w:rsidRPr="00E07B9D" w:rsidRDefault="00841CE1" w:rsidP="002B482F">
            <w:pPr>
              <w:spacing w:line="276" w:lineRule="auto"/>
              <w:jc w:val="center"/>
              <w:rPr>
                <w:rFonts w:ascii="Gill Sans MT" w:hAnsi="Gill Sans MT" w:cs="Arial"/>
                <w:sz w:val="8"/>
                <w:szCs w:val="8"/>
              </w:rPr>
            </w:pPr>
          </w:p>
        </w:tc>
      </w:tr>
      <w:tr w:rsidR="00841CE1" w14:paraId="7147D017" w14:textId="77777777" w:rsidTr="002B482F">
        <w:trPr>
          <w:jc w:val="center"/>
        </w:trPr>
        <w:tc>
          <w:tcPr>
            <w:tcW w:w="10748" w:type="dxa"/>
            <w:gridSpan w:val="13"/>
            <w:tcBorders>
              <w:top w:val="single" w:sz="4" w:space="0" w:color="auto"/>
              <w:left w:val="single" w:sz="4" w:space="0" w:color="auto"/>
              <w:bottom w:val="single" w:sz="4" w:space="0" w:color="auto"/>
              <w:right w:val="single" w:sz="4" w:space="0" w:color="auto"/>
            </w:tcBorders>
            <w:hideMark/>
          </w:tcPr>
          <w:p w14:paraId="6F0D6E27"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Colorado District</w:t>
            </w:r>
          </w:p>
        </w:tc>
      </w:tr>
      <w:tr w:rsidR="00841CE1" w14:paraId="10F4C67E" w14:textId="77777777" w:rsidTr="002B482F">
        <w:trPr>
          <w:jc w:val="center"/>
        </w:trPr>
        <w:tc>
          <w:tcPr>
            <w:tcW w:w="1362" w:type="dxa"/>
            <w:gridSpan w:val="2"/>
            <w:tcBorders>
              <w:top w:val="single" w:sz="4" w:space="0" w:color="auto"/>
              <w:left w:val="single" w:sz="4" w:space="0" w:color="auto"/>
              <w:bottom w:val="single" w:sz="4" w:space="0" w:color="auto"/>
              <w:right w:val="nil"/>
            </w:tcBorders>
            <w:hideMark/>
          </w:tcPr>
          <w:p w14:paraId="6B07015B" w14:textId="77777777" w:rsidR="00841CE1" w:rsidRPr="00260143" w:rsidRDefault="00841CE1" w:rsidP="002B482F">
            <w:pPr>
              <w:spacing w:before="60" w:line="276" w:lineRule="auto"/>
              <w:jc w:val="center"/>
              <w:rPr>
                <w:rFonts w:ascii="Gill Sans MT" w:hAnsi="Gill Sans MT" w:cs="Arial"/>
                <w:sz w:val="20"/>
                <w:szCs w:val="20"/>
              </w:rPr>
            </w:pPr>
            <w:r w:rsidRPr="00260143">
              <w:rPr>
                <w:rFonts w:ascii="Gill Sans MT" w:hAnsi="Gill Sans MT" w:cs="Arial"/>
                <w:sz w:val="20"/>
                <w:szCs w:val="20"/>
              </w:rPr>
              <w:t>iLit</w:t>
            </w:r>
          </w:p>
          <w:p w14:paraId="06CBFBC5" w14:textId="77777777" w:rsidR="00841CE1" w:rsidRPr="00260143" w:rsidRDefault="00841CE1" w:rsidP="002B482F">
            <w:pPr>
              <w:spacing w:before="60" w:line="276" w:lineRule="auto"/>
              <w:jc w:val="center"/>
              <w:rPr>
                <w:rFonts w:ascii="Gill Sans MT" w:hAnsi="Gill Sans MT" w:cs="Arial"/>
                <w:sz w:val="20"/>
                <w:szCs w:val="20"/>
              </w:rPr>
            </w:pPr>
            <w:r w:rsidRPr="00260143">
              <w:rPr>
                <w:rFonts w:ascii="Gill Sans MT" w:hAnsi="Gill Sans MT" w:cs="Arial"/>
                <w:sz w:val="20"/>
                <w:szCs w:val="20"/>
              </w:rPr>
              <w:t>Comparison</w:t>
            </w:r>
          </w:p>
        </w:tc>
        <w:tc>
          <w:tcPr>
            <w:tcW w:w="810" w:type="dxa"/>
            <w:tcBorders>
              <w:top w:val="single" w:sz="4" w:space="0" w:color="auto"/>
              <w:left w:val="nil"/>
              <w:bottom w:val="single" w:sz="4" w:space="0" w:color="auto"/>
              <w:right w:val="nil"/>
            </w:tcBorders>
            <w:hideMark/>
          </w:tcPr>
          <w:p w14:paraId="5A8663D8" w14:textId="77777777" w:rsidR="00841CE1" w:rsidRPr="00B73A8E" w:rsidRDefault="00841CE1" w:rsidP="002B482F">
            <w:pPr>
              <w:spacing w:before="240" w:line="276" w:lineRule="auto"/>
              <w:jc w:val="center"/>
              <w:rPr>
                <w:rFonts w:ascii="Gill Sans MT" w:hAnsi="Gill Sans MT" w:cs="Arial"/>
                <w:sz w:val="20"/>
                <w:szCs w:val="20"/>
              </w:rPr>
            </w:pPr>
            <w:r>
              <w:rPr>
                <w:rFonts w:ascii="Gill Sans MT" w:hAnsi="Gill Sans MT" w:cs="Arial"/>
                <w:sz w:val="20"/>
                <w:szCs w:val="20"/>
              </w:rPr>
              <w:t>7-8</w:t>
            </w:r>
          </w:p>
        </w:tc>
        <w:tc>
          <w:tcPr>
            <w:tcW w:w="990" w:type="dxa"/>
            <w:tcBorders>
              <w:top w:val="single" w:sz="4" w:space="0" w:color="auto"/>
              <w:left w:val="nil"/>
              <w:bottom w:val="single" w:sz="4" w:space="0" w:color="auto"/>
              <w:right w:val="nil"/>
            </w:tcBorders>
            <w:hideMark/>
          </w:tcPr>
          <w:p w14:paraId="70B146E8"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12</w:t>
            </w:r>
          </w:p>
          <w:p w14:paraId="5BFA32A2"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9</w:t>
            </w:r>
          </w:p>
        </w:tc>
        <w:tc>
          <w:tcPr>
            <w:tcW w:w="1222" w:type="dxa"/>
            <w:gridSpan w:val="2"/>
            <w:tcBorders>
              <w:top w:val="single" w:sz="4" w:space="0" w:color="auto"/>
              <w:left w:val="nil"/>
              <w:bottom w:val="single" w:sz="4" w:space="0" w:color="auto"/>
              <w:right w:val="nil"/>
            </w:tcBorders>
            <w:hideMark/>
          </w:tcPr>
          <w:p w14:paraId="28755089"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0%</w:t>
            </w:r>
          </w:p>
          <w:p w14:paraId="379F6FE3"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11</w:t>
            </w:r>
            <w:r w:rsidRPr="00E07B9D">
              <w:rPr>
                <w:rFonts w:ascii="Gill Sans MT" w:hAnsi="Gill Sans MT" w:cs="Arial"/>
                <w:sz w:val="20"/>
                <w:szCs w:val="20"/>
              </w:rPr>
              <w:t>%</w:t>
            </w:r>
          </w:p>
        </w:tc>
        <w:tc>
          <w:tcPr>
            <w:tcW w:w="1234" w:type="dxa"/>
            <w:tcBorders>
              <w:top w:val="single" w:sz="4" w:space="0" w:color="auto"/>
              <w:left w:val="nil"/>
              <w:bottom w:val="single" w:sz="4" w:space="0" w:color="auto"/>
              <w:right w:val="nil"/>
            </w:tcBorders>
          </w:tcPr>
          <w:p w14:paraId="7A942251"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 xml:space="preserve"> 8</w:t>
            </w:r>
            <w:r w:rsidRPr="00E07B9D">
              <w:rPr>
                <w:rFonts w:ascii="Gill Sans MT" w:hAnsi="Gill Sans MT" w:cs="Arial"/>
                <w:sz w:val="20"/>
                <w:szCs w:val="20"/>
              </w:rPr>
              <w:t>%</w:t>
            </w:r>
          </w:p>
          <w:p w14:paraId="1FF568E0"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 xml:space="preserve">  11</w:t>
            </w:r>
            <w:r w:rsidRPr="00E07B9D">
              <w:rPr>
                <w:rFonts w:ascii="Gill Sans MT" w:hAnsi="Gill Sans MT" w:cs="Arial"/>
                <w:sz w:val="20"/>
                <w:szCs w:val="20"/>
              </w:rPr>
              <w:t>%</w:t>
            </w:r>
          </w:p>
        </w:tc>
        <w:tc>
          <w:tcPr>
            <w:tcW w:w="1414" w:type="dxa"/>
            <w:tcBorders>
              <w:top w:val="single" w:sz="4" w:space="0" w:color="auto"/>
              <w:left w:val="nil"/>
              <w:bottom w:val="single" w:sz="4" w:space="0" w:color="auto"/>
              <w:right w:val="nil"/>
            </w:tcBorders>
          </w:tcPr>
          <w:p w14:paraId="24C51F23" w14:textId="77777777" w:rsidR="00841CE1" w:rsidRPr="00E07B9D" w:rsidRDefault="00841CE1" w:rsidP="002B482F">
            <w:pPr>
              <w:spacing w:before="60" w:line="276" w:lineRule="auto"/>
              <w:rPr>
                <w:rFonts w:ascii="Gill Sans MT" w:hAnsi="Gill Sans MT" w:cs="Arial"/>
                <w:sz w:val="20"/>
                <w:szCs w:val="20"/>
              </w:rPr>
            </w:pPr>
            <w:r w:rsidRPr="00E07B9D">
              <w:rPr>
                <w:rFonts w:ascii="Gill Sans MT" w:hAnsi="Gill Sans MT" w:cs="Arial"/>
                <w:sz w:val="20"/>
                <w:szCs w:val="20"/>
              </w:rPr>
              <w:t xml:space="preserve">        </w:t>
            </w:r>
            <w:r>
              <w:rPr>
                <w:rFonts w:ascii="Gill Sans MT" w:hAnsi="Gill Sans MT" w:cs="Arial"/>
                <w:sz w:val="20"/>
                <w:szCs w:val="20"/>
              </w:rPr>
              <w:t>92</w:t>
            </w:r>
            <w:r w:rsidRPr="00E07B9D">
              <w:rPr>
                <w:rFonts w:ascii="Gill Sans MT" w:hAnsi="Gill Sans MT" w:cs="Arial"/>
                <w:sz w:val="20"/>
                <w:szCs w:val="20"/>
              </w:rPr>
              <w:t>%</w:t>
            </w:r>
          </w:p>
          <w:p w14:paraId="39483950"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 xml:space="preserve"> 89</w:t>
            </w:r>
            <w:r w:rsidRPr="00E07B9D">
              <w:rPr>
                <w:rFonts w:ascii="Gill Sans MT" w:hAnsi="Gill Sans MT" w:cs="Arial"/>
                <w:sz w:val="20"/>
                <w:szCs w:val="20"/>
              </w:rPr>
              <w:t>%</w:t>
            </w:r>
          </w:p>
        </w:tc>
        <w:tc>
          <w:tcPr>
            <w:tcW w:w="1170" w:type="dxa"/>
            <w:tcBorders>
              <w:top w:val="single" w:sz="4" w:space="0" w:color="auto"/>
              <w:left w:val="nil"/>
              <w:bottom w:val="single" w:sz="4" w:space="0" w:color="auto"/>
              <w:right w:val="nil"/>
            </w:tcBorders>
          </w:tcPr>
          <w:p w14:paraId="22CB835D"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0%</w:t>
            </w:r>
          </w:p>
          <w:p w14:paraId="747B3D55"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11</w:t>
            </w:r>
            <w:r w:rsidRPr="00E07B9D">
              <w:rPr>
                <w:rFonts w:ascii="Gill Sans MT" w:hAnsi="Gill Sans MT" w:cs="Arial"/>
                <w:sz w:val="20"/>
                <w:szCs w:val="20"/>
              </w:rPr>
              <w:t>%</w:t>
            </w:r>
          </w:p>
        </w:tc>
        <w:tc>
          <w:tcPr>
            <w:tcW w:w="1042" w:type="dxa"/>
            <w:gridSpan w:val="2"/>
            <w:tcBorders>
              <w:top w:val="single" w:sz="4" w:space="0" w:color="auto"/>
              <w:left w:val="nil"/>
              <w:bottom w:val="single" w:sz="4" w:space="0" w:color="auto"/>
              <w:right w:val="nil"/>
            </w:tcBorders>
          </w:tcPr>
          <w:p w14:paraId="36ECC8B6" w14:textId="77777777" w:rsidR="00841CE1" w:rsidRPr="00E07B9D" w:rsidRDefault="00841CE1" w:rsidP="002B482F">
            <w:pPr>
              <w:spacing w:before="60" w:line="276" w:lineRule="auto"/>
              <w:rPr>
                <w:rFonts w:ascii="Gill Sans MT" w:hAnsi="Gill Sans MT" w:cs="Arial"/>
                <w:sz w:val="20"/>
                <w:szCs w:val="20"/>
              </w:rPr>
            </w:pPr>
            <w:r>
              <w:rPr>
                <w:rFonts w:ascii="Gill Sans MT" w:hAnsi="Gill Sans MT" w:cs="Arial"/>
                <w:sz w:val="20"/>
                <w:szCs w:val="20"/>
              </w:rPr>
              <w:t xml:space="preserve">     8</w:t>
            </w:r>
            <w:r w:rsidRPr="00E07B9D">
              <w:rPr>
                <w:rFonts w:ascii="Gill Sans MT" w:hAnsi="Gill Sans MT" w:cs="Arial"/>
                <w:sz w:val="20"/>
                <w:szCs w:val="20"/>
              </w:rPr>
              <w:t>%</w:t>
            </w:r>
          </w:p>
          <w:p w14:paraId="34DCB813"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0%</w:t>
            </w:r>
          </w:p>
        </w:tc>
        <w:tc>
          <w:tcPr>
            <w:tcW w:w="1234" w:type="dxa"/>
            <w:tcBorders>
              <w:top w:val="single" w:sz="4" w:space="0" w:color="auto"/>
              <w:left w:val="nil"/>
              <w:bottom w:val="single" w:sz="4" w:space="0" w:color="auto"/>
              <w:right w:val="nil"/>
            </w:tcBorders>
          </w:tcPr>
          <w:p w14:paraId="128E6F19"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0%</w:t>
            </w:r>
          </w:p>
          <w:p w14:paraId="7D48BC6A"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0%</w:t>
            </w:r>
          </w:p>
        </w:tc>
        <w:tc>
          <w:tcPr>
            <w:tcW w:w="270" w:type="dxa"/>
            <w:tcBorders>
              <w:top w:val="single" w:sz="4" w:space="0" w:color="auto"/>
              <w:left w:val="nil"/>
              <w:bottom w:val="single" w:sz="4" w:space="0" w:color="auto"/>
              <w:right w:val="single" w:sz="4" w:space="0" w:color="auto"/>
            </w:tcBorders>
          </w:tcPr>
          <w:p w14:paraId="6A712066" w14:textId="77777777" w:rsidR="00841CE1" w:rsidRPr="00260143" w:rsidRDefault="00841CE1" w:rsidP="002B482F">
            <w:pPr>
              <w:spacing w:before="60" w:line="276" w:lineRule="auto"/>
              <w:jc w:val="center"/>
              <w:rPr>
                <w:rFonts w:ascii="Gill Sans MT" w:hAnsi="Gill Sans MT" w:cs="Arial"/>
                <w:sz w:val="20"/>
                <w:szCs w:val="20"/>
              </w:rPr>
            </w:pPr>
          </w:p>
        </w:tc>
      </w:tr>
      <w:tr w:rsidR="00841CE1" w14:paraId="68F37E6D" w14:textId="77777777" w:rsidTr="002B482F">
        <w:trPr>
          <w:jc w:val="center"/>
        </w:trPr>
        <w:tc>
          <w:tcPr>
            <w:tcW w:w="10748" w:type="dxa"/>
            <w:gridSpan w:val="13"/>
            <w:tcBorders>
              <w:top w:val="single" w:sz="4" w:space="0" w:color="auto"/>
              <w:left w:val="single" w:sz="4" w:space="0" w:color="auto"/>
              <w:bottom w:val="single" w:sz="4" w:space="0" w:color="auto"/>
              <w:right w:val="single" w:sz="4" w:space="0" w:color="auto"/>
            </w:tcBorders>
            <w:shd w:val="clear" w:color="auto" w:fill="CCCCCC"/>
          </w:tcPr>
          <w:p w14:paraId="196F96A9" w14:textId="77777777" w:rsidR="00841CE1" w:rsidRPr="00E07B9D" w:rsidRDefault="00841CE1" w:rsidP="002B482F">
            <w:pPr>
              <w:spacing w:line="276" w:lineRule="auto"/>
              <w:jc w:val="center"/>
              <w:rPr>
                <w:rFonts w:ascii="Gill Sans MT" w:hAnsi="Gill Sans MT" w:cs="Arial"/>
                <w:sz w:val="8"/>
                <w:szCs w:val="8"/>
              </w:rPr>
            </w:pPr>
          </w:p>
        </w:tc>
      </w:tr>
      <w:tr w:rsidR="00841CE1" w14:paraId="77D9F05D" w14:textId="77777777" w:rsidTr="002B482F">
        <w:trPr>
          <w:jc w:val="center"/>
        </w:trPr>
        <w:tc>
          <w:tcPr>
            <w:tcW w:w="10748" w:type="dxa"/>
            <w:gridSpan w:val="13"/>
            <w:tcBorders>
              <w:top w:val="single" w:sz="4" w:space="0" w:color="auto"/>
              <w:left w:val="single" w:sz="4" w:space="0" w:color="auto"/>
              <w:bottom w:val="single" w:sz="4" w:space="0" w:color="auto"/>
              <w:right w:val="single" w:sz="4" w:space="0" w:color="auto"/>
            </w:tcBorders>
            <w:hideMark/>
          </w:tcPr>
          <w:p w14:paraId="6045FBCE"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lastRenderedPageBreak/>
              <w:t>Michigan District</w:t>
            </w:r>
          </w:p>
        </w:tc>
      </w:tr>
      <w:tr w:rsidR="00841CE1" w14:paraId="7EB69F64" w14:textId="77777777" w:rsidTr="002B482F">
        <w:trPr>
          <w:jc w:val="center"/>
        </w:trPr>
        <w:tc>
          <w:tcPr>
            <w:tcW w:w="1362" w:type="dxa"/>
            <w:gridSpan w:val="2"/>
            <w:tcBorders>
              <w:top w:val="single" w:sz="4" w:space="0" w:color="auto"/>
              <w:left w:val="single" w:sz="4" w:space="0" w:color="auto"/>
              <w:bottom w:val="single" w:sz="4" w:space="0" w:color="auto"/>
              <w:right w:val="nil"/>
            </w:tcBorders>
            <w:hideMark/>
          </w:tcPr>
          <w:p w14:paraId="7EE71A84" w14:textId="77777777" w:rsidR="00841CE1" w:rsidRPr="00260143" w:rsidRDefault="00841CE1" w:rsidP="002B482F">
            <w:pPr>
              <w:spacing w:before="60" w:line="276" w:lineRule="auto"/>
              <w:jc w:val="center"/>
              <w:rPr>
                <w:rFonts w:ascii="Gill Sans MT" w:hAnsi="Gill Sans MT" w:cs="Arial"/>
                <w:sz w:val="20"/>
                <w:szCs w:val="20"/>
              </w:rPr>
            </w:pPr>
            <w:r w:rsidRPr="00260143">
              <w:rPr>
                <w:rFonts w:ascii="Gill Sans MT" w:hAnsi="Gill Sans MT" w:cs="Arial"/>
                <w:sz w:val="20"/>
                <w:szCs w:val="20"/>
              </w:rPr>
              <w:t>iLit</w:t>
            </w:r>
          </w:p>
          <w:p w14:paraId="02F1282D" w14:textId="77777777" w:rsidR="00841CE1" w:rsidRPr="00260143" w:rsidRDefault="00841CE1" w:rsidP="002B482F">
            <w:pPr>
              <w:spacing w:before="60" w:line="276" w:lineRule="auto"/>
              <w:jc w:val="center"/>
              <w:rPr>
                <w:rFonts w:ascii="Gill Sans MT" w:hAnsi="Gill Sans MT" w:cs="Arial"/>
                <w:sz w:val="20"/>
                <w:szCs w:val="20"/>
              </w:rPr>
            </w:pPr>
            <w:r w:rsidRPr="00260143">
              <w:rPr>
                <w:rFonts w:ascii="Gill Sans MT" w:hAnsi="Gill Sans MT" w:cs="Arial"/>
                <w:sz w:val="20"/>
                <w:szCs w:val="20"/>
              </w:rPr>
              <w:t>Comparison</w:t>
            </w:r>
          </w:p>
        </w:tc>
        <w:tc>
          <w:tcPr>
            <w:tcW w:w="810" w:type="dxa"/>
            <w:tcBorders>
              <w:top w:val="single" w:sz="4" w:space="0" w:color="auto"/>
              <w:left w:val="nil"/>
              <w:bottom w:val="single" w:sz="4" w:space="0" w:color="auto"/>
              <w:right w:val="nil"/>
            </w:tcBorders>
            <w:hideMark/>
          </w:tcPr>
          <w:p w14:paraId="789F0150" w14:textId="77777777" w:rsidR="00841CE1" w:rsidRPr="00B73A8E" w:rsidRDefault="00841CE1" w:rsidP="002B482F">
            <w:pPr>
              <w:spacing w:before="240" w:line="276" w:lineRule="auto"/>
              <w:jc w:val="center"/>
              <w:rPr>
                <w:rFonts w:ascii="Gill Sans MT" w:hAnsi="Gill Sans MT" w:cs="Arial"/>
                <w:sz w:val="20"/>
                <w:szCs w:val="20"/>
              </w:rPr>
            </w:pPr>
            <w:r>
              <w:rPr>
                <w:rFonts w:ascii="Gill Sans MT" w:hAnsi="Gill Sans MT" w:cs="Arial"/>
                <w:sz w:val="20"/>
                <w:szCs w:val="20"/>
              </w:rPr>
              <w:t>7-8</w:t>
            </w:r>
          </w:p>
        </w:tc>
        <w:tc>
          <w:tcPr>
            <w:tcW w:w="990" w:type="dxa"/>
            <w:tcBorders>
              <w:top w:val="single" w:sz="4" w:space="0" w:color="auto"/>
              <w:left w:val="nil"/>
              <w:bottom w:val="single" w:sz="4" w:space="0" w:color="auto"/>
              <w:right w:val="nil"/>
            </w:tcBorders>
            <w:hideMark/>
          </w:tcPr>
          <w:p w14:paraId="07025866"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21</w:t>
            </w:r>
          </w:p>
          <w:p w14:paraId="0005EEB1"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1</w:t>
            </w:r>
            <w:r>
              <w:rPr>
                <w:rFonts w:ascii="Gill Sans MT" w:hAnsi="Gill Sans MT" w:cs="Arial"/>
                <w:sz w:val="20"/>
                <w:szCs w:val="20"/>
              </w:rPr>
              <w:t>8</w:t>
            </w:r>
          </w:p>
        </w:tc>
        <w:tc>
          <w:tcPr>
            <w:tcW w:w="1222" w:type="dxa"/>
            <w:gridSpan w:val="2"/>
            <w:tcBorders>
              <w:top w:val="single" w:sz="4" w:space="0" w:color="auto"/>
              <w:left w:val="nil"/>
              <w:bottom w:val="single" w:sz="4" w:space="0" w:color="auto"/>
              <w:right w:val="nil"/>
            </w:tcBorders>
            <w:hideMark/>
          </w:tcPr>
          <w:p w14:paraId="7EA2A129"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0%</w:t>
            </w:r>
          </w:p>
          <w:p w14:paraId="400DB02F"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0%</w:t>
            </w:r>
          </w:p>
        </w:tc>
        <w:tc>
          <w:tcPr>
            <w:tcW w:w="1234" w:type="dxa"/>
            <w:tcBorders>
              <w:top w:val="single" w:sz="4" w:space="0" w:color="auto"/>
              <w:left w:val="nil"/>
              <w:bottom w:val="single" w:sz="4" w:space="0" w:color="auto"/>
              <w:right w:val="nil"/>
            </w:tcBorders>
          </w:tcPr>
          <w:p w14:paraId="682CE04D"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67</w:t>
            </w:r>
            <w:r w:rsidRPr="00E07B9D">
              <w:rPr>
                <w:rFonts w:ascii="Gill Sans MT" w:hAnsi="Gill Sans MT" w:cs="Arial"/>
                <w:sz w:val="20"/>
                <w:szCs w:val="20"/>
              </w:rPr>
              <w:t>%</w:t>
            </w:r>
          </w:p>
          <w:p w14:paraId="1CA5D306"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72</w:t>
            </w:r>
            <w:r w:rsidRPr="00E07B9D">
              <w:rPr>
                <w:rFonts w:ascii="Gill Sans MT" w:hAnsi="Gill Sans MT" w:cs="Arial"/>
                <w:sz w:val="20"/>
                <w:szCs w:val="20"/>
              </w:rPr>
              <w:t>%</w:t>
            </w:r>
          </w:p>
        </w:tc>
        <w:tc>
          <w:tcPr>
            <w:tcW w:w="1414" w:type="dxa"/>
            <w:tcBorders>
              <w:top w:val="single" w:sz="4" w:space="0" w:color="auto"/>
              <w:left w:val="nil"/>
              <w:bottom w:val="single" w:sz="4" w:space="0" w:color="auto"/>
              <w:right w:val="nil"/>
            </w:tcBorders>
          </w:tcPr>
          <w:p w14:paraId="209D59FC"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81</w:t>
            </w:r>
            <w:r w:rsidRPr="00E07B9D">
              <w:rPr>
                <w:rFonts w:ascii="Gill Sans MT" w:hAnsi="Gill Sans MT" w:cs="Arial"/>
                <w:sz w:val="20"/>
                <w:szCs w:val="20"/>
              </w:rPr>
              <w:t>%</w:t>
            </w:r>
          </w:p>
          <w:p w14:paraId="4F91D2FE"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83</w:t>
            </w:r>
            <w:r w:rsidRPr="00E07B9D">
              <w:rPr>
                <w:rFonts w:ascii="Gill Sans MT" w:hAnsi="Gill Sans MT" w:cs="Arial"/>
                <w:sz w:val="20"/>
                <w:szCs w:val="20"/>
              </w:rPr>
              <w:t>%</w:t>
            </w:r>
          </w:p>
        </w:tc>
        <w:tc>
          <w:tcPr>
            <w:tcW w:w="1170" w:type="dxa"/>
            <w:tcBorders>
              <w:top w:val="single" w:sz="4" w:space="0" w:color="auto"/>
              <w:left w:val="nil"/>
              <w:bottom w:val="single" w:sz="4" w:space="0" w:color="auto"/>
              <w:right w:val="nil"/>
            </w:tcBorders>
          </w:tcPr>
          <w:p w14:paraId="285827D3"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 xml:space="preserve"> 0%</w:t>
            </w:r>
          </w:p>
          <w:p w14:paraId="58FCA36A"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11</w:t>
            </w:r>
            <w:r w:rsidRPr="00E07B9D">
              <w:rPr>
                <w:rFonts w:ascii="Gill Sans MT" w:hAnsi="Gill Sans MT" w:cs="Arial"/>
                <w:sz w:val="20"/>
                <w:szCs w:val="20"/>
              </w:rPr>
              <w:t>%</w:t>
            </w:r>
          </w:p>
        </w:tc>
        <w:tc>
          <w:tcPr>
            <w:tcW w:w="1042" w:type="dxa"/>
            <w:gridSpan w:val="2"/>
            <w:tcBorders>
              <w:top w:val="single" w:sz="4" w:space="0" w:color="auto"/>
              <w:left w:val="nil"/>
              <w:bottom w:val="single" w:sz="4" w:space="0" w:color="auto"/>
              <w:right w:val="nil"/>
            </w:tcBorders>
          </w:tcPr>
          <w:p w14:paraId="6F160A92"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19</w:t>
            </w:r>
            <w:r w:rsidRPr="00E07B9D">
              <w:rPr>
                <w:rFonts w:ascii="Gill Sans MT" w:hAnsi="Gill Sans MT" w:cs="Arial"/>
                <w:sz w:val="20"/>
                <w:szCs w:val="20"/>
              </w:rPr>
              <w:t>%</w:t>
            </w:r>
          </w:p>
          <w:p w14:paraId="3BA086EA"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 xml:space="preserve"> 6%</w:t>
            </w:r>
          </w:p>
        </w:tc>
        <w:tc>
          <w:tcPr>
            <w:tcW w:w="1234" w:type="dxa"/>
            <w:tcBorders>
              <w:top w:val="single" w:sz="4" w:space="0" w:color="auto"/>
              <w:left w:val="nil"/>
              <w:bottom w:val="single" w:sz="4" w:space="0" w:color="auto"/>
              <w:right w:val="nil"/>
            </w:tcBorders>
          </w:tcPr>
          <w:p w14:paraId="18648CDC"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0%</w:t>
            </w:r>
          </w:p>
          <w:p w14:paraId="647CA332"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0%</w:t>
            </w:r>
          </w:p>
        </w:tc>
        <w:tc>
          <w:tcPr>
            <w:tcW w:w="270" w:type="dxa"/>
            <w:tcBorders>
              <w:top w:val="single" w:sz="4" w:space="0" w:color="auto"/>
              <w:left w:val="nil"/>
              <w:bottom w:val="single" w:sz="4" w:space="0" w:color="auto"/>
              <w:right w:val="single" w:sz="4" w:space="0" w:color="auto"/>
            </w:tcBorders>
          </w:tcPr>
          <w:p w14:paraId="1C8D95C0" w14:textId="77777777" w:rsidR="00841CE1" w:rsidRPr="00260143" w:rsidRDefault="00841CE1" w:rsidP="002B482F">
            <w:pPr>
              <w:spacing w:before="60" w:line="276" w:lineRule="auto"/>
              <w:jc w:val="center"/>
              <w:rPr>
                <w:rFonts w:ascii="Gill Sans MT" w:hAnsi="Gill Sans MT" w:cs="Arial"/>
                <w:sz w:val="20"/>
                <w:szCs w:val="20"/>
              </w:rPr>
            </w:pPr>
          </w:p>
        </w:tc>
      </w:tr>
      <w:tr w:rsidR="00841CE1" w14:paraId="0F5100F2" w14:textId="77777777" w:rsidTr="002B482F">
        <w:trPr>
          <w:jc w:val="center"/>
        </w:trPr>
        <w:tc>
          <w:tcPr>
            <w:tcW w:w="10748" w:type="dxa"/>
            <w:gridSpan w:val="13"/>
            <w:tcBorders>
              <w:top w:val="single" w:sz="4" w:space="0" w:color="auto"/>
              <w:left w:val="single" w:sz="4" w:space="0" w:color="auto"/>
              <w:bottom w:val="single" w:sz="4" w:space="0" w:color="auto"/>
              <w:right w:val="single" w:sz="4" w:space="0" w:color="auto"/>
            </w:tcBorders>
            <w:shd w:val="clear" w:color="auto" w:fill="CCCCCC"/>
          </w:tcPr>
          <w:p w14:paraId="3F0DCBD2" w14:textId="77777777" w:rsidR="00841CE1" w:rsidRPr="00E07B9D" w:rsidRDefault="00841CE1" w:rsidP="002B482F">
            <w:pPr>
              <w:spacing w:line="276" w:lineRule="auto"/>
              <w:jc w:val="center"/>
              <w:rPr>
                <w:rFonts w:ascii="Gill Sans MT" w:hAnsi="Gill Sans MT" w:cs="Arial"/>
                <w:sz w:val="8"/>
                <w:szCs w:val="8"/>
              </w:rPr>
            </w:pPr>
          </w:p>
        </w:tc>
      </w:tr>
      <w:tr w:rsidR="00841CE1" w14:paraId="17560467" w14:textId="77777777" w:rsidTr="002B482F">
        <w:trPr>
          <w:jc w:val="center"/>
        </w:trPr>
        <w:tc>
          <w:tcPr>
            <w:tcW w:w="10748" w:type="dxa"/>
            <w:gridSpan w:val="13"/>
            <w:tcBorders>
              <w:top w:val="single" w:sz="4" w:space="0" w:color="auto"/>
              <w:left w:val="single" w:sz="4" w:space="0" w:color="auto"/>
              <w:bottom w:val="single" w:sz="4" w:space="0" w:color="auto"/>
              <w:right w:val="single" w:sz="4" w:space="0" w:color="auto"/>
            </w:tcBorders>
            <w:hideMark/>
          </w:tcPr>
          <w:p w14:paraId="319E0C99"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New Jersey District</w:t>
            </w:r>
          </w:p>
        </w:tc>
      </w:tr>
      <w:tr w:rsidR="00841CE1" w14:paraId="2369F55B" w14:textId="77777777" w:rsidTr="002B482F">
        <w:trPr>
          <w:jc w:val="center"/>
        </w:trPr>
        <w:tc>
          <w:tcPr>
            <w:tcW w:w="1362" w:type="dxa"/>
            <w:gridSpan w:val="2"/>
            <w:tcBorders>
              <w:top w:val="single" w:sz="4" w:space="0" w:color="auto"/>
              <w:left w:val="single" w:sz="4" w:space="0" w:color="auto"/>
              <w:bottom w:val="single" w:sz="4" w:space="0" w:color="auto"/>
              <w:right w:val="nil"/>
            </w:tcBorders>
            <w:hideMark/>
          </w:tcPr>
          <w:p w14:paraId="59F3AD72" w14:textId="77777777" w:rsidR="00841CE1" w:rsidRPr="00EC5C14" w:rsidRDefault="00841CE1" w:rsidP="002B482F">
            <w:pPr>
              <w:spacing w:before="60" w:line="276" w:lineRule="auto"/>
              <w:jc w:val="center"/>
              <w:rPr>
                <w:rFonts w:ascii="Gill Sans MT" w:hAnsi="Gill Sans MT" w:cs="Arial"/>
                <w:sz w:val="20"/>
                <w:szCs w:val="20"/>
              </w:rPr>
            </w:pPr>
            <w:r w:rsidRPr="00EC5C14">
              <w:rPr>
                <w:rFonts w:ascii="Gill Sans MT" w:hAnsi="Gill Sans MT" w:cs="Arial"/>
                <w:sz w:val="20"/>
                <w:szCs w:val="20"/>
              </w:rPr>
              <w:t>iLit</w:t>
            </w:r>
          </w:p>
          <w:p w14:paraId="7451D9EF" w14:textId="77777777" w:rsidR="00841CE1" w:rsidRPr="00EC5C14" w:rsidRDefault="00841CE1" w:rsidP="002B482F">
            <w:pPr>
              <w:spacing w:before="60" w:line="276" w:lineRule="auto"/>
              <w:jc w:val="center"/>
              <w:rPr>
                <w:rFonts w:ascii="Gill Sans MT" w:hAnsi="Gill Sans MT" w:cs="Arial"/>
                <w:sz w:val="20"/>
                <w:szCs w:val="20"/>
              </w:rPr>
            </w:pPr>
            <w:r w:rsidRPr="00EC5C14">
              <w:rPr>
                <w:rFonts w:ascii="Gill Sans MT" w:hAnsi="Gill Sans MT" w:cs="Arial"/>
                <w:sz w:val="20"/>
                <w:szCs w:val="20"/>
              </w:rPr>
              <w:t>Comparison</w:t>
            </w:r>
          </w:p>
        </w:tc>
        <w:tc>
          <w:tcPr>
            <w:tcW w:w="810" w:type="dxa"/>
            <w:tcBorders>
              <w:top w:val="single" w:sz="4" w:space="0" w:color="auto"/>
              <w:left w:val="nil"/>
              <w:bottom w:val="single" w:sz="4" w:space="0" w:color="auto"/>
              <w:right w:val="nil"/>
            </w:tcBorders>
            <w:hideMark/>
          </w:tcPr>
          <w:p w14:paraId="032298C5" w14:textId="77777777" w:rsidR="00841CE1" w:rsidRPr="00B73A8E" w:rsidRDefault="00841CE1" w:rsidP="002B482F">
            <w:pPr>
              <w:spacing w:before="240" w:line="276" w:lineRule="auto"/>
              <w:jc w:val="center"/>
              <w:rPr>
                <w:rFonts w:ascii="Gill Sans MT" w:hAnsi="Gill Sans MT" w:cs="Arial"/>
                <w:sz w:val="20"/>
                <w:szCs w:val="20"/>
              </w:rPr>
            </w:pPr>
            <w:r>
              <w:rPr>
                <w:rFonts w:ascii="Gill Sans MT" w:hAnsi="Gill Sans MT" w:cs="Arial"/>
                <w:sz w:val="20"/>
                <w:szCs w:val="20"/>
              </w:rPr>
              <w:t>7-8</w:t>
            </w:r>
          </w:p>
        </w:tc>
        <w:tc>
          <w:tcPr>
            <w:tcW w:w="990" w:type="dxa"/>
            <w:tcBorders>
              <w:top w:val="single" w:sz="4" w:space="0" w:color="auto"/>
              <w:left w:val="nil"/>
              <w:bottom w:val="single" w:sz="4" w:space="0" w:color="auto"/>
              <w:right w:val="nil"/>
            </w:tcBorders>
            <w:hideMark/>
          </w:tcPr>
          <w:p w14:paraId="614B6341"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11</w:t>
            </w:r>
          </w:p>
          <w:p w14:paraId="242B9C78"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1</w:t>
            </w:r>
            <w:r>
              <w:rPr>
                <w:rFonts w:ascii="Gill Sans MT" w:hAnsi="Gill Sans MT" w:cs="Arial"/>
                <w:sz w:val="20"/>
                <w:szCs w:val="20"/>
              </w:rPr>
              <w:t>2</w:t>
            </w:r>
          </w:p>
        </w:tc>
        <w:tc>
          <w:tcPr>
            <w:tcW w:w="1222" w:type="dxa"/>
            <w:gridSpan w:val="2"/>
            <w:tcBorders>
              <w:top w:val="single" w:sz="4" w:space="0" w:color="auto"/>
              <w:left w:val="nil"/>
              <w:bottom w:val="single" w:sz="4" w:space="0" w:color="auto"/>
              <w:right w:val="nil"/>
            </w:tcBorders>
            <w:hideMark/>
          </w:tcPr>
          <w:p w14:paraId="381E68A2"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0%</w:t>
            </w:r>
          </w:p>
          <w:p w14:paraId="01A0DBCF"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0%</w:t>
            </w:r>
          </w:p>
        </w:tc>
        <w:tc>
          <w:tcPr>
            <w:tcW w:w="1234" w:type="dxa"/>
            <w:tcBorders>
              <w:top w:val="single" w:sz="4" w:space="0" w:color="auto"/>
              <w:left w:val="nil"/>
              <w:bottom w:val="single" w:sz="4" w:space="0" w:color="auto"/>
              <w:right w:val="nil"/>
            </w:tcBorders>
          </w:tcPr>
          <w:p w14:paraId="131D3638"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 xml:space="preserve"> 73</w:t>
            </w:r>
            <w:r w:rsidRPr="00E07B9D">
              <w:rPr>
                <w:rFonts w:ascii="Gill Sans MT" w:hAnsi="Gill Sans MT" w:cs="Arial"/>
                <w:sz w:val="20"/>
                <w:szCs w:val="20"/>
              </w:rPr>
              <w:t>%</w:t>
            </w:r>
          </w:p>
          <w:p w14:paraId="62B5C7A7"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100%</w:t>
            </w:r>
          </w:p>
        </w:tc>
        <w:tc>
          <w:tcPr>
            <w:tcW w:w="1414" w:type="dxa"/>
            <w:tcBorders>
              <w:top w:val="single" w:sz="4" w:space="0" w:color="auto"/>
              <w:left w:val="nil"/>
              <w:bottom w:val="single" w:sz="4" w:space="0" w:color="auto"/>
              <w:right w:val="nil"/>
            </w:tcBorders>
          </w:tcPr>
          <w:p w14:paraId="72B937AE"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9</w:t>
            </w:r>
            <w:r w:rsidRPr="00E07B9D">
              <w:rPr>
                <w:rFonts w:ascii="Gill Sans MT" w:hAnsi="Gill Sans MT" w:cs="Arial"/>
                <w:sz w:val="20"/>
                <w:szCs w:val="20"/>
              </w:rPr>
              <w:t>%</w:t>
            </w:r>
          </w:p>
          <w:p w14:paraId="469A06D8"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0%</w:t>
            </w:r>
          </w:p>
        </w:tc>
        <w:tc>
          <w:tcPr>
            <w:tcW w:w="1170" w:type="dxa"/>
            <w:tcBorders>
              <w:top w:val="single" w:sz="4" w:space="0" w:color="auto"/>
              <w:left w:val="nil"/>
              <w:bottom w:val="single" w:sz="4" w:space="0" w:color="auto"/>
              <w:right w:val="nil"/>
            </w:tcBorders>
          </w:tcPr>
          <w:p w14:paraId="1E057765"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27</w:t>
            </w:r>
            <w:r w:rsidRPr="00E07B9D">
              <w:rPr>
                <w:rFonts w:ascii="Gill Sans MT" w:hAnsi="Gill Sans MT" w:cs="Arial"/>
                <w:sz w:val="20"/>
                <w:szCs w:val="20"/>
              </w:rPr>
              <w:t>%</w:t>
            </w:r>
          </w:p>
          <w:p w14:paraId="52C218E2"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33</w:t>
            </w:r>
            <w:r w:rsidRPr="00E07B9D">
              <w:rPr>
                <w:rFonts w:ascii="Gill Sans MT" w:hAnsi="Gill Sans MT" w:cs="Arial"/>
                <w:sz w:val="20"/>
                <w:szCs w:val="20"/>
              </w:rPr>
              <w:t>%</w:t>
            </w:r>
          </w:p>
        </w:tc>
        <w:tc>
          <w:tcPr>
            <w:tcW w:w="1042" w:type="dxa"/>
            <w:gridSpan w:val="2"/>
            <w:tcBorders>
              <w:top w:val="single" w:sz="4" w:space="0" w:color="auto"/>
              <w:left w:val="nil"/>
              <w:bottom w:val="single" w:sz="4" w:space="0" w:color="auto"/>
              <w:right w:val="nil"/>
            </w:tcBorders>
          </w:tcPr>
          <w:p w14:paraId="7B4182F8"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55</w:t>
            </w:r>
            <w:r w:rsidRPr="00E07B9D">
              <w:rPr>
                <w:rFonts w:ascii="Gill Sans MT" w:hAnsi="Gill Sans MT" w:cs="Arial"/>
                <w:sz w:val="20"/>
                <w:szCs w:val="20"/>
              </w:rPr>
              <w:t>%</w:t>
            </w:r>
          </w:p>
          <w:p w14:paraId="1B4A6160"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58</w:t>
            </w:r>
            <w:r w:rsidRPr="00E07B9D">
              <w:rPr>
                <w:rFonts w:ascii="Gill Sans MT" w:hAnsi="Gill Sans MT" w:cs="Arial"/>
                <w:sz w:val="20"/>
                <w:szCs w:val="20"/>
              </w:rPr>
              <w:t>%</w:t>
            </w:r>
          </w:p>
        </w:tc>
        <w:tc>
          <w:tcPr>
            <w:tcW w:w="1234" w:type="dxa"/>
            <w:tcBorders>
              <w:top w:val="single" w:sz="4" w:space="0" w:color="auto"/>
              <w:left w:val="nil"/>
              <w:bottom w:val="single" w:sz="4" w:space="0" w:color="auto"/>
              <w:right w:val="nil"/>
            </w:tcBorders>
          </w:tcPr>
          <w:p w14:paraId="0F866E54"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9</w:t>
            </w:r>
            <w:r w:rsidRPr="00E07B9D">
              <w:rPr>
                <w:rFonts w:ascii="Gill Sans MT" w:hAnsi="Gill Sans MT" w:cs="Arial"/>
                <w:sz w:val="20"/>
                <w:szCs w:val="20"/>
              </w:rPr>
              <w:t>%</w:t>
            </w:r>
          </w:p>
          <w:p w14:paraId="334346D0" w14:textId="77777777" w:rsidR="00841CE1" w:rsidRPr="00E07B9D" w:rsidRDefault="00841CE1" w:rsidP="002B482F">
            <w:pPr>
              <w:tabs>
                <w:tab w:val="left" w:pos="320"/>
                <w:tab w:val="center" w:pos="522"/>
              </w:tabs>
              <w:spacing w:before="60" w:line="276" w:lineRule="auto"/>
              <w:rPr>
                <w:rFonts w:ascii="Gill Sans MT" w:hAnsi="Gill Sans MT" w:cs="Arial"/>
                <w:sz w:val="20"/>
                <w:szCs w:val="20"/>
              </w:rPr>
            </w:pPr>
            <w:r>
              <w:rPr>
                <w:rFonts w:ascii="Gill Sans MT" w:hAnsi="Gill Sans MT" w:cs="Arial"/>
                <w:sz w:val="20"/>
                <w:szCs w:val="20"/>
              </w:rPr>
              <w:tab/>
            </w:r>
            <w:r>
              <w:rPr>
                <w:rFonts w:ascii="Gill Sans MT" w:hAnsi="Gill Sans MT" w:cs="Arial"/>
                <w:sz w:val="20"/>
                <w:szCs w:val="20"/>
              </w:rPr>
              <w:tab/>
              <w:t>9</w:t>
            </w:r>
            <w:r w:rsidRPr="00E07B9D">
              <w:rPr>
                <w:rFonts w:ascii="Gill Sans MT" w:hAnsi="Gill Sans MT" w:cs="Arial"/>
                <w:sz w:val="20"/>
                <w:szCs w:val="20"/>
              </w:rPr>
              <w:t>%</w:t>
            </w:r>
          </w:p>
        </w:tc>
        <w:tc>
          <w:tcPr>
            <w:tcW w:w="270" w:type="dxa"/>
            <w:tcBorders>
              <w:top w:val="single" w:sz="4" w:space="0" w:color="auto"/>
              <w:left w:val="nil"/>
              <w:bottom w:val="single" w:sz="4" w:space="0" w:color="auto"/>
              <w:right w:val="single" w:sz="4" w:space="0" w:color="auto"/>
            </w:tcBorders>
          </w:tcPr>
          <w:p w14:paraId="3700592D" w14:textId="77777777" w:rsidR="00841CE1" w:rsidRPr="00EC5C14" w:rsidRDefault="00841CE1" w:rsidP="002B482F">
            <w:pPr>
              <w:tabs>
                <w:tab w:val="left" w:pos="320"/>
                <w:tab w:val="center" w:pos="522"/>
              </w:tabs>
              <w:spacing w:before="60" w:line="276" w:lineRule="auto"/>
              <w:rPr>
                <w:rFonts w:ascii="Gill Sans MT" w:hAnsi="Gill Sans MT" w:cs="Arial"/>
                <w:sz w:val="20"/>
                <w:szCs w:val="20"/>
              </w:rPr>
            </w:pPr>
          </w:p>
        </w:tc>
      </w:tr>
      <w:tr w:rsidR="00841CE1" w14:paraId="32E74DA5" w14:textId="77777777" w:rsidTr="002B482F">
        <w:trPr>
          <w:jc w:val="center"/>
        </w:trPr>
        <w:tc>
          <w:tcPr>
            <w:tcW w:w="10748" w:type="dxa"/>
            <w:gridSpan w:val="13"/>
            <w:tcBorders>
              <w:top w:val="single" w:sz="4" w:space="0" w:color="auto"/>
              <w:left w:val="single" w:sz="4" w:space="0" w:color="auto"/>
              <w:bottom w:val="single" w:sz="4" w:space="0" w:color="auto"/>
              <w:right w:val="single" w:sz="4" w:space="0" w:color="auto"/>
            </w:tcBorders>
            <w:shd w:val="clear" w:color="auto" w:fill="CCCCCC"/>
          </w:tcPr>
          <w:p w14:paraId="32F66E04" w14:textId="77777777" w:rsidR="00841CE1" w:rsidRPr="00E07B9D" w:rsidRDefault="00841CE1" w:rsidP="002B482F">
            <w:pPr>
              <w:spacing w:line="276" w:lineRule="auto"/>
              <w:jc w:val="center"/>
              <w:rPr>
                <w:rFonts w:ascii="Gill Sans MT" w:hAnsi="Gill Sans MT" w:cs="Arial"/>
                <w:sz w:val="8"/>
                <w:szCs w:val="8"/>
              </w:rPr>
            </w:pPr>
          </w:p>
        </w:tc>
      </w:tr>
      <w:tr w:rsidR="00841CE1" w14:paraId="38B8F61B" w14:textId="77777777" w:rsidTr="002B482F">
        <w:trPr>
          <w:jc w:val="center"/>
        </w:trPr>
        <w:tc>
          <w:tcPr>
            <w:tcW w:w="10748" w:type="dxa"/>
            <w:gridSpan w:val="13"/>
            <w:tcBorders>
              <w:top w:val="single" w:sz="4" w:space="0" w:color="auto"/>
              <w:left w:val="single" w:sz="4" w:space="0" w:color="auto"/>
              <w:bottom w:val="single" w:sz="4" w:space="0" w:color="auto"/>
              <w:right w:val="single" w:sz="4" w:space="0" w:color="auto"/>
            </w:tcBorders>
            <w:hideMark/>
          </w:tcPr>
          <w:p w14:paraId="6E9A83A3"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New York District</w:t>
            </w:r>
          </w:p>
        </w:tc>
      </w:tr>
      <w:tr w:rsidR="00841CE1" w14:paraId="609CBC20" w14:textId="77777777" w:rsidTr="002B482F">
        <w:trPr>
          <w:jc w:val="center"/>
        </w:trPr>
        <w:tc>
          <w:tcPr>
            <w:tcW w:w="1362" w:type="dxa"/>
            <w:gridSpan w:val="2"/>
            <w:tcBorders>
              <w:top w:val="single" w:sz="4" w:space="0" w:color="auto"/>
              <w:left w:val="single" w:sz="4" w:space="0" w:color="auto"/>
              <w:bottom w:val="single" w:sz="4" w:space="0" w:color="auto"/>
              <w:right w:val="nil"/>
            </w:tcBorders>
            <w:hideMark/>
          </w:tcPr>
          <w:p w14:paraId="2AC6473F" w14:textId="77777777" w:rsidR="00841CE1" w:rsidRPr="00EC5C14" w:rsidRDefault="00841CE1" w:rsidP="002B482F">
            <w:pPr>
              <w:spacing w:before="60" w:line="276" w:lineRule="auto"/>
              <w:jc w:val="center"/>
              <w:rPr>
                <w:rFonts w:ascii="Gill Sans MT" w:hAnsi="Gill Sans MT" w:cs="Arial"/>
                <w:sz w:val="20"/>
                <w:szCs w:val="20"/>
              </w:rPr>
            </w:pPr>
            <w:r w:rsidRPr="00EC5C14">
              <w:rPr>
                <w:rFonts w:ascii="Gill Sans MT" w:hAnsi="Gill Sans MT" w:cs="Arial"/>
                <w:sz w:val="20"/>
                <w:szCs w:val="20"/>
              </w:rPr>
              <w:t>iLit</w:t>
            </w:r>
          </w:p>
          <w:p w14:paraId="13A802C6" w14:textId="77777777" w:rsidR="00841CE1" w:rsidRPr="00EC5C14" w:rsidRDefault="00841CE1" w:rsidP="002B482F">
            <w:pPr>
              <w:spacing w:before="60" w:line="276" w:lineRule="auto"/>
              <w:jc w:val="center"/>
              <w:rPr>
                <w:rFonts w:ascii="Gill Sans MT" w:hAnsi="Gill Sans MT" w:cs="Arial"/>
                <w:sz w:val="20"/>
                <w:szCs w:val="20"/>
              </w:rPr>
            </w:pPr>
            <w:r w:rsidRPr="00EC5C14">
              <w:rPr>
                <w:rFonts w:ascii="Gill Sans MT" w:hAnsi="Gill Sans MT" w:cs="Arial"/>
                <w:sz w:val="20"/>
                <w:szCs w:val="20"/>
              </w:rPr>
              <w:t>Comparison</w:t>
            </w:r>
          </w:p>
        </w:tc>
        <w:tc>
          <w:tcPr>
            <w:tcW w:w="810" w:type="dxa"/>
            <w:tcBorders>
              <w:top w:val="single" w:sz="4" w:space="0" w:color="auto"/>
              <w:left w:val="nil"/>
              <w:bottom w:val="single" w:sz="4" w:space="0" w:color="auto"/>
              <w:right w:val="nil"/>
            </w:tcBorders>
            <w:hideMark/>
          </w:tcPr>
          <w:p w14:paraId="2F7F12F7" w14:textId="77777777" w:rsidR="00841CE1" w:rsidRPr="00B73A8E" w:rsidRDefault="00841CE1" w:rsidP="002B482F">
            <w:pPr>
              <w:spacing w:before="240" w:line="276" w:lineRule="auto"/>
              <w:jc w:val="center"/>
              <w:rPr>
                <w:rFonts w:ascii="Gill Sans MT" w:hAnsi="Gill Sans MT" w:cs="Arial"/>
                <w:sz w:val="20"/>
                <w:szCs w:val="20"/>
              </w:rPr>
            </w:pPr>
            <w:r>
              <w:rPr>
                <w:rFonts w:ascii="Gill Sans MT" w:hAnsi="Gill Sans MT" w:cs="Arial"/>
                <w:sz w:val="20"/>
                <w:szCs w:val="20"/>
              </w:rPr>
              <w:t>7-8</w:t>
            </w:r>
          </w:p>
        </w:tc>
        <w:tc>
          <w:tcPr>
            <w:tcW w:w="990" w:type="dxa"/>
            <w:tcBorders>
              <w:top w:val="single" w:sz="4" w:space="0" w:color="auto"/>
              <w:left w:val="nil"/>
              <w:bottom w:val="single" w:sz="4" w:space="0" w:color="auto"/>
              <w:right w:val="nil"/>
            </w:tcBorders>
            <w:hideMark/>
          </w:tcPr>
          <w:p w14:paraId="39074793"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49</w:t>
            </w:r>
          </w:p>
          <w:p w14:paraId="6751B4EE"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4</w:t>
            </w:r>
            <w:r>
              <w:rPr>
                <w:rFonts w:ascii="Gill Sans MT" w:hAnsi="Gill Sans MT" w:cs="Arial"/>
                <w:sz w:val="20"/>
                <w:szCs w:val="20"/>
              </w:rPr>
              <w:t>7</w:t>
            </w:r>
          </w:p>
        </w:tc>
        <w:tc>
          <w:tcPr>
            <w:tcW w:w="1222" w:type="dxa"/>
            <w:gridSpan w:val="2"/>
            <w:tcBorders>
              <w:top w:val="single" w:sz="4" w:space="0" w:color="auto"/>
              <w:left w:val="nil"/>
              <w:bottom w:val="single" w:sz="4" w:space="0" w:color="auto"/>
              <w:right w:val="nil"/>
            </w:tcBorders>
            <w:hideMark/>
          </w:tcPr>
          <w:p w14:paraId="44970932"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43</w:t>
            </w:r>
            <w:r w:rsidRPr="00E07B9D">
              <w:rPr>
                <w:rFonts w:ascii="Gill Sans MT" w:hAnsi="Gill Sans MT" w:cs="Arial"/>
                <w:sz w:val="20"/>
                <w:szCs w:val="20"/>
              </w:rPr>
              <w:t>%</w:t>
            </w:r>
          </w:p>
          <w:p w14:paraId="71488ADE"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55</w:t>
            </w:r>
            <w:r w:rsidRPr="00E07B9D">
              <w:rPr>
                <w:rFonts w:ascii="Gill Sans MT" w:hAnsi="Gill Sans MT" w:cs="Arial"/>
                <w:sz w:val="20"/>
                <w:szCs w:val="20"/>
              </w:rPr>
              <w:t>%</w:t>
            </w:r>
          </w:p>
        </w:tc>
        <w:tc>
          <w:tcPr>
            <w:tcW w:w="1234" w:type="dxa"/>
            <w:tcBorders>
              <w:top w:val="single" w:sz="4" w:space="0" w:color="auto"/>
              <w:left w:val="nil"/>
              <w:bottom w:val="single" w:sz="4" w:space="0" w:color="auto"/>
              <w:right w:val="nil"/>
            </w:tcBorders>
          </w:tcPr>
          <w:p w14:paraId="07046056"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92%</w:t>
            </w:r>
          </w:p>
          <w:p w14:paraId="4DF0761E"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87</w:t>
            </w:r>
            <w:r w:rsidRPr="00E07B9D">
              <w:rPr>
                <w:rFonts w:ascii="Gill Sans MT" w:hAnsi="Gill Sans MT" w:cs="Arial"/>
                <w:sz w:val="20"/>
                <w:szCs w:val="20"/>
              </w:rPr>
              <w:t>%</w:t>
            </w:r>
          </w:p>
        </w:tc>
        <w:tc>
          <w:tcPr>
            <w:tcW w:w="1414" w:type="dxa"/>
            <w:tcBorders>
              <w:top w:val="single" w:sz="4" w:space="0" w:color="auto"/>
              <w:left w:val="nil"/>
              <w:bottom w:val="single" w:sz="4" w:space="0" w:color="auto"/>
              <w:right w:val="nil"/>
            </w:tcBorders>
          </w:tcPr>
          <w:p w14:paraId="1CF0438D"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0%</w:t>
            </w:r>
          </w:p>
          <w:p w14:paraId="485C4C38"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0%</w:t>
            </w:r>
          </w:p>
        </w:tc>
        <w:tc>
          <w:tcPr>
            <w:tcW w:w="1170" w:type="dxa"/>
            <w:tcBorders>
              <w:top w:val="single" w:sz="4" w:space="0" w:color="auto"/>
              <w:left w:val="nil"/>
              <w:bottom w:val="single" w:sz="4" w:space="0" w:color="auto"/>
              <w:right w:val="nil"/>
            </w:tcBorders>
          </w:tcPr>
          <w:p w14:paraId="17E4CB93"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73</w:t>
            </w:r>
            <w:r w:rsidRPr="00E07B9D">
              <w:rPr>
                <w:rFonts w:ascii="Gill Sans MT" w:hAnsi="Gill Sans MT" w:cs="Arial"/>
                <w:sz w:val="20"/>
                <w:szCs w:val="20"/>
              </w:rPr>
              <w:t>%</w:t>
            </w:r>
          </w:p>
          <w:p w14:paraId="3F6287F7"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74</w:t>
            </w:r>
            <w:r w:rsidRPr="00E07B9D">
              <w:rPr>
                <w:rFonts w:ascii="Gill Sans MT" w:hAnsi="Gill Sans MT" w:cs="Arial"/>
                <w:sz w:val="20"/>
                <w:szCs w:val="20"/>
              </w:rPr>
              <w:t>%</w:t>
            </w:r>
          </w:p>
        </w:tc>
        <w:tc>
          <w:tcPr>
            <w:tcW w:w="1042" w:type="dxa"/>
            <w:gridSpan w:val="2"/>
            <w:tcBorders>
              <w:top w:val="single" w:sz="4" w:space="0" w:color="auto"/>
              <w:left w:val="nil"/>
              <w:bottom w:val="single" w:sz="4" w:space="0" w:color="auto"/>
              <w:right w:val="nil"/>
            </w:tcBorders>
          </w:tcPr>
          <w:p w14:paraId="4206E619"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27</w:t>
            </w:r>
            <w:r w:rsidRPr="00E07B9D">
              <w:rPr>
                <w:rFonts w:ascii="Gill Sans MT" w:hAnsi="Gill Sans MT" w:cs="Arial"/>
                <w:sz w:val="20"/>
                <w:szCs w:val="20"/>
              </w:rPr>
              <w:t>%</w:t>
            </w:r>
          </w:p>
          <w:p w14:paraId="1DB61EFB" w14:textId="77777777" w:rsidR="00841CE1" w:rsidRPr="00E07B9D" w:rsidRDefault="00841CE1" w:rsidP="002B482F">
            <w:pPr>
              <w:spacing w:before="60" w:line="276" w:lineRule="auto"/>
              <w:jc w:val="center"/>
              <w:rPr>
                <w:rFonts w:ascii="Gill Sans MT" w:hAnsi="Gill Sans MT" w:cs="Arial"/>
                <w:sz w:val="20"/>
                <w:szCs w:val="20"/>
              </w:rPr>
            </w:pPr>
            <w:r>
              <w:rPr>
                <w:rFonts w:ascii="Gill Sans MT" w:hAnsi="Gill Sans MT" w:cs="Arial"/>
                <w:sz w:val="20"/>
                <w:szCs w:val="20"/>
              </w:rPr>
              <w:t>21</w:t>
            </w:r>
            <w:r w:rsidRPr="00E07B9D">
              <w:rPr>
                <w:rFonts w:ascii="Gill Sans MT" w:hAnsi="Gill Sans MT" w:cs="Arial"/>
                <w:sz w:val="20"/>
                <w:szCs w:val="20"/>
              </w:rPr>
              <w:t>%</w:t>
            </w:r>
          </w:p>
        </w:tc>
        <w:tc>
          <w:tcPr>
            <w:tcW w:w="1234" w:type="dxa"/>
            <w:tcBorders>
              <w:top w:val="single" w:sz="4" w:space="0" w:color="auto"/>
              <w:left w:val="nil"/>
              <w:bottom w:val="single" w:sz="4" w:space="0" w:color="auto"/>
              <w:right w:val="nil"/>
            </w:tcBorders>
          </w:tcPr>
          <w:p w14:paraId="6ECF4B1D"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 xml:space="preserve"> 0%</w:t>
            </w:r>
          </w:p>
          <w:p w14:paraId="21817FC3" w14:textId="77777777" w:rsidR="00841CE1" w:rsidRPr="00E07B9D" w:rsidRDefault="00841CE1" w:rsidP="002B482F">
            <w:pPr>
              <w:spacing w:before="60" w:line="276" w:lineRule="auto"/>
              <w:jc w:val="center"/>
              <w:rPr>
                <w:rFonts w:ascii="Gill Sans MT" w:hAnsi="Gill Sans MT" w:cs="Arial"/>
                <w:sz w:val="20"/>
                <w:szCs w:val="20"/>
              </w:rPr>
            </w:pPr>
            <w:r w:rsidRPr="00E07B9D">
              <w:rPr>
                <w:rFonts w:ascii="Gill Sans MT" w:hAnsi="Gill Sans MT" w:cs="Arial"/>
                <w:sz w:val="20"/>
                <w:szCs w:val="20"/>
              </w:rPr>
              <w:t xml:space="preserve"> 5%</w:t>
            </w:r>
          </w:p>
        </w:tc>
        <w:tc>
          <w:tcPr>
            <w:tcW w:w="270" w:type="dxa"/>
            <w:tcBorders>
              <w:top w:val="single" w:sz="4" w:space="0" w:color="auto"/>
              <w:left w:val="nil"/>
              <w:bottom w:val="single" w:sz="4" w:space="0" w:color="auto"/>
              <w:right w:val="single" w:sz="4" w:space="0" w:color="auto"/>
            </w:tcBorders>
          </w:tcPr>
          <w:p w14:paraId="000F28CC" w14:textId="77777777" w:rsidR="00841CE1" w:rsidRPr="00EC5C14" w:rsidRDefault="00841CE1" w:rsidP="002B482F">
            <w:pPr>
              <w:spacing w:before="60" w:line="276" w:lineRule="auto"/>
              <w:jc w:val="center"/>
              <w:rPr>
                <w:rFonts w:ascii="Gill Sans MT" w:hAnsi="Gill Sans MT" w:cs="Arial"/>
                <w:sz w:val="20"/>
                <w:szCs w:val="20"/>
              </w:rPr>
            </w:pPr>
          </w:p>
        </w:tc>
      </w:tr>
      <w:tr w:rsidR="00841CE1" w14:paraId="678D62C2" w14:textId="77777777" w:rsidTr="002B482F">
        <w:trPr>
          <w:trHeight w:val="98"/>
          <w:jc w:val="center"/>
        </w:trPr>
        <w:tc>
          <w:tcPr>
            <w:tcW w:w="10748" w:type="dxa"/>
            <w:gridSpan w:val="13"/>
            <w:tcBorders>
              <w:top w:val="single" w:sz="4" w:space="0" w:color="auto"/>
              <w:left w:val="single" w:sz="4" w:space="0" w:color="auto"/>
              <w:bottom w:val="single" w:sz="4" w:space="0" w:color="auto"/>
              <w:right w:val="single" w:sz="4" w:space="0" w:color="auto"/>
            </w:tcBorders>
            <w:shd w:val="clear" w:color="auto" w:fill="CCCCCC"/>
            <w:hideMark/>
          </w:tcPr>
          <w:p w14:paraId="77EA034C" w14:textId="77777777" w:rsidR="00841CE1" w:rsidRDefault="00841CE1" w:rsidP="002B482F">
            <w:pPr>
              <w:spacing w:before="60" w:line="276" w:lineRule="auto"/>
              <w:rPr>
                <w:rFonts w:ascii="Gill Sans MT" w:hAnsi="Gill Sans MT"/>
                <w:sz w:val="16"/>
                <w:szCs w:val="16"/>
              </w:rPr>
            </w:pPr>
          </w:p>
        </w:tc>
      </w:tr>
    </w:tbl>
    <w:p w14:paraId="361298E6" w14:textId="77777777" w:rsidR="00841CE1" w:rsidRPr="00D13ABD" w:rsidRDefault="00841CE1" w:rsidP="00841CE1">
      <w:pPr>
        <w:autoSpaceDE w:val="0"/>
        <w:autoSpaceDN w:val="0"/>
        <w:adjustRightInd w:val="0"/>
        <w:rPr>
          <w:b/>
          <w:color w:val="FFFF99"/>
          <w:sz w:val="8"/>
          <w:szCs w:val="8"/>
          <w:highlight w:val="darkBlue"/>
        </w:rPr>
      </w:pPr>
    </w:p>
    <w:p w14:paraId="02808307" w14:textId="77777777" w:rsidR="00841CE1" w:rsidRDefault="00841CE1" w:rsidP="00841CE1">
      <w:pPr>
        <w:rPr>
          <w:color w:val="000080"/>
          <w:shd w:val="clear" w:color="auto" w:fill="D9D9D9"/>
        </w:rPr>
      </w:pPr>
    </w:p>
    <w:p w14:paraId="172F645C" w14:textId="77777777" w:rsidR="00CC3E9D" w:rsidRPr="00F612EE" w:rsidRDefault="00CC3E9D" w:rsidP="003D7BFE">
      <w:pPr>
        <w:rPr>
          <w:b/>
          <w:color w:val="000080"/>
          <w:shd w:val="clear" w:color="auto" w:fill="D9D9D9"/>
        </w:rPr>
      </w:pPr>
    </w:p>
    <w:p w14:paraId="1029D579"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2FEF4858" w14:textId="77777777" w:rsidR="003D244A" w:rsidRPr="006967D0" w:rsidRDefault="003D244A" w:rsidP="003D7BFE">
      <w:pPr>
        <w:rPr>
          <w:b/>
          <w:i/>
          <w:color w:val="000080"/>
          <w:sz w:val="28"/>
          <w:szCs w:val="28"/>
          <w:shd w:val="clear" w:color="auto" w:fill="D9D9D9"/>
        </w:rPr>
      </w:pPr>
      <w:r w:rsidRPr="00F06695">
        <w:rPr>
          <w:b/>
          <w:i/>
          <w:color w:val="000080"/>
          <w:sz w:val="28"/>
          <w:szCs w:val="28"/>
        </w:rPr>
        <w:t xml:space="preserve">  </w:t>
      </w:r>
      <w:r>
        <w:rPr>
          <w:b/>
          <w:i/>
          <w:color w:val="000080"/>
          <w:sz w:val="28"/>
          <w:szCs w:val="28"/>
        </w:rPr>
        <w:t>Data Analysis Procedures</w:t>
      </w:r>
    </w:p>
    <w:p w14:paraId="09B71317"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4F6418E5" w14:textId="77777777" w:rsidR="003D244A" w:rsidRDefault="003D244A" w:rsidP="003D7BFE">
      <w:pPr>
        <w:autoSpaceDE w:val="0"/>
        <w:autoSpaceDN w:val="0"/>
        <w:adjustRightInd w:val="0"/>
      </w:pPr>
    </w:p>
    <w:p w14:paraId="48606C5F" w14:textId="77777777" w:rsidR="00E90455" w:rsidRDefault="00E90455" w:rsidP="00E90455">
      <w:pPr>
        <w:jc w:val="both"/>
      </w:pPr>
      <w:r w:rsidRPr="00BE7DB0">
        <w:t xml:space="preserve">Statistical analyses were performed on GRADE total and subtest raw gain scores, as well as, literacy academic attitude survey raw gain scores.  Gain scores are calculated by subtracting the </w:t>
      </w:r>
      <w:r w:rsidRPr="00A67BAD">
        <w:t xml:space="preserve">beginning-of-year raw score from the end-of-year raw score.  The mean </w:t>
      </w:r>
      <w:r>
        <w:t>gain</w:t>
      </w:r>
      <w:r w:rsidRPr="00A67BAD">
        <w:t xml:space="preserve"> for the comparison group was statistically compared to the iLit group.</w:t>
      </w:r>
      <w:r>
        <w:t xml:space="preserve">  </w:t>
      </w:r>
    </w:p>
    <w:p w14:paraId="362A54AD" w14:textId="77777777" w:rsidR="00E90455" w:rsidRDefault="00E90455" w:rsidP="00E90455">
      <w:pPr>
        <w:jc w:val="both"/>
      </w:pPr>
    </w:p>
    <w:p w14:paraId="10FF345C" w14:textId="77777777" w:rsidR="00E90455" w:rsidRDefault="00E90455" w:rsidP="00E90455">
      <w:pPr>
        <w:jc w:val="both"/>
        <w:rPr>
          <w:color w:val="000000"/>
        </w:rPr>
      </w:pPr>
      <w:r w:rsidRPr="004433A3">
        <w:t xml:space="preserve">While students were the unit of analysis, the schools were the independent units.  </w:t>
      </w:r>
      <w:r w:rsidRPr="004433A3">
        <w:rPr>
          <w:color w:val="000000"/>
        </w:rPr>
        <w:t>The hierarchical nature of the data (i.e., students nested within classrooms, c</w:t>
      </w:r>
      <w:r>
        <w:rPr>
          <w:color w:val="000000"/>
        </w:rPr>
        <w:t>lassrooms nested within schools</w:t>
      </w:r>
      <w:r w:rsidRPr="004433A3">
        <w:rPr>
          <w:color w:val="000000"/>
        </w:rPr>
        <w:t>) has the effect of reducing the amount of independent information available in the sample, therefore decreasing the precision of estimates and the power of hypothesis tests to find these estimates statistically significant.</w:t>
      </w:r>
      <w:r w:rsidRPr="004433A3">
        <w:rPr>
          <w:rStyle w:val="FootnoteReference"/>
          <w:color w:val="000000"/>
        </w:rPr>
        <w:footnoteReference w:id="2"/>
      </w:r>
      <w:r w:rsidRPr="004433A3">
        <w:rPr>
          <w:color w:val="000000"/>
        </w:rPr>
        <w:t xml:space="preserve">  </w:t>
      </w:r>
    </w:p>
    <w:p w14:paraId="29887A26" w14:textId="77777777" w:rsidR="00E90455" w:rsidRDefault="00E90455" w:rsidP="00E90455">
      <w:pPr>
        <w:jc w:val="both"/>
        <w:rPr>
          <w:color w:val="000000"/>
        </w:rPr>
      </w:pPr>
    </w:p>
    <w:p w14:paraId="73C2DDA4" w14:textId="77777777" w:rsidR="00E90455" w:rsidRPr="003B0AC7" w:rsidRDefault="00E90455" w:rsidP="00E90455">
      <w:pPr>
        <w:jc w:val="both"/>
      </w:pPr>
      <w:r w:rsidRPr="003B0AC7">
        <w:t>SAS’s Mixed procedure</w:t>
      </w:r>
      <w:r w:rsidRPr="003B0AC7">
        <w:rPr>
          <w:rStyle w:val="FootnoteReference"/>
          <w:color w:val="000000"/>
        </w:rPr>
        <w:footnoteReference w:id="3"/>
      </w:r>
      <w:r w:rsidRPr="003B0AC7">
        <w:t xml:space="preserve"> was used to analyze the data.  An ordinary least squares fixed effects model with </w:t>
      </w:r>
      <w:r w:rsidRPr="003B0AC7">
        <w:rPr>
          <w:color w:val="000000"/>
        </w:rPr>
        <w:t xml:space="preserve">a naïve covariance structure </w:t>
      </w:r>
      <w:r w:rsidRPr="003B0AC7">
        <w:t>within a robust empirical standard error formulation</w:t>
      </w:r>
      <w:r w:rsidRPr="003B0AC7">
        <w:rPr>
          <w:color w:val="000000"/>
        </w:rPr>
        <w:t xml:space="preserve"> </w:t>
      </w:r>
      <w:r w:rsidRPr="003B0AC7">
        <w:t xml:space="preserve">(i.e., Sandwich estimator) </w:t>
      </w:r>
      <w:r w:rsidRPr="003B0AC7">
        <w:rPr>
          <w:color w:val="000000"/>
        </w:rPr>
        <w:t xml:space="preserve">was used to calculate p-values and confidence intervals for the group mean differences.  </w:t>
      </w:r>
      <w:r w:rsidRPr="003B0AC7">
        <w:t>This</w:t>
      </w:r>
      <w:r w:rsidRPr="003B0AC7">
        <w:rPr>
          <w:color w:val="000000"/>
        </w:rPr>
        <w:t xml:space="preserve"> procedure results in estimates that are unbiased and statistical hypothesis tests that are consistent</w:t>
      </w:r>
      <w:r w:rsidRPr="003B0AC7">
        <w:rPr>
          <w:rStyle w:val="FootnoteReference"/>
          <w:color w:val="000000"/>
        </w:rPr>
        <w:footnoteReference w:id="4"/>
      </w:r>
      <w:r w:rsidRPr="003B0AC7">
        <w:rPr>
          <w:color w:val="000000"/>
          <w:vertAlign w:val="superscript"/>
        </w:rPr>
        <w:t xml:space="preserve"> </w:t>
      </w:r>
      <w:r w:rsidRPr="003B0AC7">
        <w:rPr>
          <w:color w:val="000000"/>
        </w:rPr>
        <w:t>despite the nested nature of the data.</w:t>
      </w:r>
    </w:p>
    <w:p w14:paraId="15BDD49E" w14:textId="77777777" w:rsidR="00E90455" w:rsidRPr="003B0AC7" w:rsidRDefault="00E90455" w:rsidP="00E90455">
      <w:pPr>
        <w:jc w:val="both"/>
      </w:pPr>
    </w:p>
    <w:p w14:paraId="2E926493" w14:textId="48B13B81" w:rsidR="00E90455" w:rsidRPr="00FF61E9" w:rsidRDefault="00E90455" w:rsidP="00E90455">
      <w:pPr>
        <w:jc w:val="both"/>
      </w:pPr>
      <w:r w:rsidRPr="003B0AC7">
        <w:t>Several covariates were entered into the statistical models.  These covariates included student</w:t>
      </w:r>
      <w:r w:rsidRPr="008D576F">
        <w:t xml:space="preserve"> de</w:t>
      </w:r>
      <w:r>
        <w:t>mographic information (i.e</w:t>
      </w:r>
      <w:r w:rsidRPr="008D576F">
        <w:t>., free or reduced lunch eligible, ethnicity, gender, special education status, English language proficient), as well as classroom environment indicators</w:t>
      </w:r>
      <w:r>
        <w:t xml:space="preserve"> for both school </w:t>
      </w:r>
      <w:r w:rsidRPr="00FF61E9">
        <w:t xml:space="preserve">years (ex., minutes in literacy instruction block, number students in section, number study students in section, mixed </w:t>
      </w:r>
      <w:r w:rsidR="005D6D11">
        <w:t xml:space="preserve">section </w:t>
      </w:r>
      <w:r w:rsidRPr="00FF61E9">
        <w:t>with non-study students), and teacher experience (i.e., years teaching, years at current school, years teaching literacy at current grade, highest degree).  Adding variables known to impact achievement outcomes to the statistical models may reduce the residual variation or error about the estimates resulting in more precisely estimated results and additional power to statistically detect group differences.  Also, the additional variables may reduce the effect from nesting and help normalize the residual distribution.</w:t>
      </w:r>
    </w:p>
    <w:p w14:paraId="41293790" w14:textId="77777777" w:rsidR="00E90455" w:rsidRDefault="00E90455" w:rsidP="00E90455">
      <w:pPr>
        <w:jc w:val="both"/>
      </w:pPr>
    </w:p>
    <w:p w14:paraId="6545792F" w14:textId="77777777" w:rsidR="00E90455" w:rsidRPr="004D5850" w:rsidRDefault="00E90455" w:rsidP="00E90455">
      <w:pPr>
        <w:tabs>
          <w:tab w:val="left" w:pos="5220"/>
        </w:tabs>
        <w:jc w:val="both"/>
        <w:rPr>
          <w:color w:val="000000"/>
        </w:rPr>
      </w:pPr>
      <w:r w:rsidRPr="004D5850">
        <w:t xml:space="preserve">All statistical significance tests are two-tailed with a Type I error rate of 0.05.  This means that, </w:t>
      </w:r>
      <w:r w:rsidRPr="004D5850">
        <w:rPr>
          <w:color w:val="000000"/>
        </w:rPr>
        <w:t>statistically significant group mean differences have no better than a 1 in 20 chance of occurrence when the groups are in fact equal.  Statistical significance thus implies that the samples are likely drawn from two separate populations or that the groups are unlikely to be the same in the population.  Coupled with the rigorous study design we may then hold these statistically significant differences as evidence for one group outperforming the other.</w:t>
      </w:r>
    </w:p>
    <w:p w14:paraId="3546F32A" w14:textId="77777777" w:rsidR="00E90455" w:rsidRPr="004D5850" w:rsidRDefault="00E90455" w:rsidP="00E90455">
      <w:pPr>
        <w:tabs>
          <w:tab w:val="left" w:pos="5220"/>
        </w:tabs>
        <w:jc w:val="both"/>
      </w:pPr>
    </w:p>
    <w:p w14:paraId="7DEB6C18" w14:textId="77777777" w:rsidR="00E90455" w:rsidRPr="00051422" w:rsidRDefault="00E90455" w:rsidP="00E90455">
      <w:pPr>
        <w:tabs>
          <w:tab w:val="left" w:pos="5220"/>
        </w:tabs>
        <w:jc w:val="both"/>
        <w:rPr>
          <w:color w:val="000000"/>
        </w:rPr>
      </w:pPr>
      <w:r w:rsidRPr="00051422">
        <w:t>S</w:t>
      </w:r>
      <w:r w:rsidRPr="00051422">
        <w:rPr>
          <w:color w:val="000000"/>
        </w:rPr>
        <w:t>tandardized</w:t>
      </w:r>
      <w:r w:rsidRPr="00051422">
        <w:t xml:space="preserve"> effect size estimates (i.e., effect size = group mean gain difference / comparison group sample gain score standard deviation) along with a percentile rank based effect size measure are computed for </w:t>
      </w:r>
      <w:r w:rsidRPr="00051422">
        <w:rPr>
          <w:color w:val="000000"/>
        </w:rPr>
        <w:t>statistically significant</w:t>
      </w:r>
      <w:r w:rsidRPr="00051422">
        <w:t xml:space="preserve"> differences</w:t>
      </w:r>
      <w:r w:rsidRPr="00051422">
        <w:rPr>
          <w:color w:val="000000"/>
        </w:rPr>
        <w:t>.</w:t>
      </w:r>
      <w:r w:rsidRPr="00051422">
        <w:rPr>
          <w:rStyle w:val="FootnoteReference"/>
          <w:color w:val="000000"/>
        </w:rPr>
        <w:footnoteReference w:id="5"/>
      </w:r>
      <w:r w:rsidRPr="00051422">
        <w:rPr>
          <w:color w:val="000000"/>
        </w:rPr>
        <w:t xml:space="preserve">  The latter effect size measure </w:t>
      </w:r>
      <w:r w:rsidRPr="00051422">
        <w:t>indicates the percentile rank for the average iLit student’s gain in relation to the comparison group’s distribution.  For example, if the treatment group outperformed the comparison group by 0.20 standard deviations the average/mean/median score for the treatment group was larger than 58% of the comparison group scores, thus the treatment group outperformed the comparison group by 8 percentile points.</w:t>
      </w:r>
    </w:p>
    <w:p w14:paraId="4B9ECCC1" w14:textId="77777777" w:rsidR="00E90455" w:rsidRPr="00AB20B2" w:rsidRDefault="00E90455" w:rsidP="00E90455"/>
    <w:p w14:paraId="2621E1A8" w14:textId="77777777" w:rsidR="00E90455" w:rsidRDefault="00E90455" w:rsidP="00E90455">
      <w:pPr>
        <w:shd w:val="clear" w:color="auto" w:fill="FFFFFF"/>
        <w:jc w:val="both"/>
        <w:textAlignment w:val="center"/>
        <w:rPr>
          <w:color w:val="000000"/>
        </w:rPr>
      </w:pPr>
      <w:r w:rsidRPr="00E932FD">
        <w:rPr>
          <w:color w:val="000000"/>
        </w:rPr>
        <w:t>Almost a quarter (i.e., 24.7%) of those students starting the study, did not remain in the study till the end of the second school year.  To best guarantee the results of the study would be unbiased</w:t>
      </w:r>
      <w:r>
        <w:rPr>
          <w:color w:val="000000"/>
        </w:rPr>
        <w:t>,</w:t>
      </w:r>
      <w:r w:rsidRPr="00E932FD">
        <w:rPr>
          <w:color w:val="000000"/>
        </w:rPr>
        <w:t xml:space="preserve"> the data analyses incorporated the Multiple Imputation (MI) method</w:t>
      </w:r>
      <w:r>
        <w:rPr>
          <w:color w:val="000000"/>
        </w:rPr>
        <w:t>.  The advantage of MI is that when the mechanism causing the non-response is the same for both the observed and un-observed data (i.e., ignorable non-response, missing at random) MI produces unbiased and consistent pooled results, including estimates for standard errors and confidence intervals.</w:t>
      </w:r>
      <w:r w:rsidRPr="00F80665">
        <w:rPr>
          <w:color w:val="000000"/>
        </w:rPr>
        <w:t xml:space="preserve">  </w:t>
      </w:r>
    </w:p>
    <w:p w14:paraId="7CDA9FD4" w14:textId="77777777" w:rsidR="00E90455" w:rsidRPr="00E932FD" w:rsidRDefault="00E90455" w:rsidP="00E90455">
      <w:pPr>
        <w:shd w:val="clear" w:color="auto" w:fill="FFFFFF"/>
        <w:jc w:val="both"/>
        <w:textAlignment w:val="center"/>
        <w:rPr>
          <w:color w:val="000000"/>
        </w:rPr>
      </w:pPr>
    </w:p>
    <w:p w14:paraId="6A3271E3" w14:textId="77777777" w:rsidR="00E90455" w:rsidRDefault="00E90455" w:rsidP="00E90455">
      <w:pPr>
        <w:shd w:val="clear" w:color="auto" w:fill="FFFFFF"/>
        <w:jc w:val="both"/>
        <w:textAlignment w:val="center"/>
        <w:rPr>
          <w:color w:val="000000"/>
        </w:rPr>
      </w:pPr>
      <w:r w:rsidRPr="00F80665">
        <w:rPr>
          <w:color w:val="000000"/>
        </w:rPr>
        <w:t>The MI technique can simply be described as a three step process.  First, the missing information is filled in repeatedly with estimated values using a suitable method</w:t>
      </w:r>
      <w:r>
        <w:rPr>
          <w:color w:val="000000"/>
        </w:rPr>
        <w:t>,</w:t>
      </w:r>
      <w:r w:rsidRPr="00F80665">
        <w:rPr>
          <w:color w:val="000000"/>
        </w:rPr>
        <w:t xml:space="preserve"> assuming missing information is missing at random.  This creates multiple data sets, in which only the estimated values differ across them.  The next step is to perform the same statistical analyses on each estimated data set.  Lastly, the results of these analyses are pooled to estimate one set of ‘whole sample’ statistical results.</w:t>
      </w:r>
      <w:r>
        <w:rPr>
          <w:color w:val="000000"/>
        </w:rPr>
        <w:t xml:space="preserve">  </w:t>
      </w:r>
    </w:p>
    <w:p w14:paraId="2C4804A2" w14:textId="77777777" w:rsidR="00E90455" w:rsidRDefault="00E90455" w:rsidP="00E90455">
      <w:pPr>
        <w:shd w:val="clear" w:color="auto" w:fill="FFFFFF"/>
        <w:jc w:val="both"/>
        <w:textAlignment w:val="center"/>
        <w:rPr>
          <w:color w:val="000000"/>
        </w:rPr>
      </w:pPr>
    </w:p>
    <w:p w14:paraId="61E6754B" w14:textId="6BC5B697" w:rsidR="00E90455" w:rsidRPr="0061403D" w:rsidRDefault="00E90455" w:rsidP="00E90455">
      <w:pPr>
        <w:shd w:val="clear" w:color="auto" w:fill="FFFFFF"/>
        <w:jc w:val="both"/>
        <w:textAlignment w:val="center"/>
        <w:rPr>
          <w:color w:val="000000"/>
        </w:rPr>
      </w:pPr>
      <w:r w:rsidRPr="0061403D">
        <w:rPr>
          <w:color w:val="000000"/>
        </w:rPr>
        <w:t>Technically, missing data was imputed using the SAS MI Procedure.  As the missing information followed a complex arbitrary pattern, missing values were estimated using Bayesian Markov Chain Monte Carlo estimation.  The imputation model included the baseline and gain scores for each school year for each outcome variable</w:t>
      </w:r>
      <w:r>
        <w:rPr>
          <w:color w:val="000000"/>
        </w:rPr>
        <w:t xml:space="preserve"> (ex., </w:t>
      </w:r>
      <w:r w:rsidR="005D6D11">
        <w:rPr>
          <w:color w:val="000000"/>
        </w:rPr>
        <w:t xml:space="preserve">beginning of school year one </w:t>
      </w:r>
      <w:r>
        <w:rPr>
          <w:color w:val="000000"/>
        </w:rPr>
        <w:t xml:space="preserve">GRADE, </w:t>
      </w:r>
      <w:r w:rsidR="005D6D11">
        <w:rPr>
          <w:color w:val="000000"/>
        </w:rPr>
        <w:t>end of school year one</w:t>
      </w:r>
      <w:r>
        <w:rPr>
          <w:color w:val="000000"/>
        </w:rPr>
        <w:t xml:space="preserve"> GRADE </w:t>
      </w:r>
      <w:r w:rsidR="005D6D11">
        <w:rPr>
          <w:color w:val="000000"/>
        </w:rPr>
        <w:t>g</w:t>
      </w:r>
      <w:r>
        <w:rPr>
          <w:color w:val="000000"/>
        </w:rPr>
        <w:t xml:space="preserve">ain, </w:t>
      </w:r>
      <w:r w:rsidR="005D6D11">
        <w:rPr>
          <w:color w:val="000000"/>
        </w:rPr>
        <w:t>beginning of school year two</w:t>
      </w:r>
      <w:r>
        <w:rPr>
          <w:color w:val="000000"/>
        </w:rPr>
        <w:t xml:space="preserve"> GRADE, </w:t>
      </w:r>
      <w:r w:rsidR="005D6D11">
        <w:rPr>
          <w:color w:val="000000"/>
        </w:rPr>
        <w:t>end of school year</w:t>
      </w:r>
      <w:r w:rsidR="005D6D11" w:rsidDel="005D6D11">
        <w:rPr>
          <w:color w:val="000000"/>
        </w:rPr>
        <w:t xml:space="preserve"> </w:t>
      </w:r>
      <w:r w:rsidR="005D6D11">
        <w:rPr>
          <w:color w:val="000000"/>
        </w:rPr>
        <w:t>two</w:t>
      </w:r>
      <w:r>
        <w:rPr>
          <w:color w:val="000000"/>
        </w:rPr>
        <w:t xml:space="preserve"> GRADE </w:t>
      </w:r>
      <w:r w:rsidR="005D6D11">
        <w:rPr>
          <w:color w:val="000000"/>
        </w:rPr>
        <w:t>g</w:t>
      </w:r>
      <w:r>
        <w:rPr>
          <w:color w:val="000000"/>
        </w:rPr>
        <w:t xml:space="preserve">ain) </w:t>
      </w:r>
      <w:r w:rsidRPr="0061403D">
        <w:rPr>
          <w:color w:val="000000"/>
        </w:rPr>
        <w:t>along with the covariates used in the statistical model mentioned previously</w:t>
      </w:r>
      <w:r w:rsidR="0054668A">
        <w:rPr>
          <w:color w:val="000000"/>
        </w:rPr>
        <w:t>, group status, and indicators for reasons student data was missing</w:t>
      </w:r>
      <w:r w:rsidRPr="0061403D">
        <w:rPr>
          <w:color w:val="000000"/>
        </w:rPr>
        <w:t xml:space="preserve">.  One hundred estimated data sets were created.  These data sets were analyzed for congruence of basic descriptive statistics and scanned for out-of-bounds estimates.  </w:t>
      </w:r>
      <w:r>
        <w:rPr>
          <w:color w:val="000000"/>
        </w:rPr>
        <w:t>The r</w:t>
      </w:r>
      <w:r w:rsidRPr="0061403D">
        <w:rPr>
          <w:color w:val="000000"/>
        </w:rPr>
        <w:t xml:space="preserve">esults </w:t>
      </w:r>
      <w:r>
        <w:rPr>
          <w:color w:val="000000"/>
        </w:rPr>
        <w:t xml:space="preserve">from the Mixed procedures </w:t>
      </w:r>
      <w:r w:rsidRPr="0061403D">
        <w:rPr>
          <w:color w:val="000000"/>
        </w:rPr>
        <w:t xml:space="preserve">were then pooled using the SAS MI Analysis procedure.  </w:t>
      </w:r>
    </w:p>
    <w:p w14:paraId="612EB229" w14:textId="77777777" w:rsidR="00E90455" w:rsidRDefault="00E90455" w:rsidP="00E90455">
      <w:pPr>
        <w:pStyle w:val="Title"/>
        <w:jc w:val="both"/>
        <w:rPr>
          <w:sz w:val="24"/>
        </w:rPr>
      </w:pPr>
    </w:p>
    <w:p w14:paraId="5775A8A8" w14:textId="77777777" w:rsidR="00E90455" w:rsidRPr="003474DB" w:rsidRDefault="00E90455" w:rsidP="00E90455">
      <w:pPr>
        <w:jc w:val="both"/>
      </w:pPr>
      <w:r>
        <w:t>By the end of the first school year 12% of the students left the study with 24.7% attrition by the end of the second school year.  Also, c</w:t>
      </w:r>
      <w:r w:rsidRPr="00F01324">
        <w:t>omplete demographic</w:t>
      </w:r>
      <w:r>
        <w:t xml:space="preserve"> information was not available for 6% of the study students. There was relatively little missing information for the classroom variables </w:t>
      </w:r>
      <w:r>
        <w:lastRenderedPageBreak/>
        <w:t>as it was possible to determine for all but 5 students what these values would be for them in school year two (i.e., their teachers in 2014-15 were fixed).</w:t>
      </w:r>
    </w:p>
    <w:p w14:paraId="2FB55468" w14:textId="4A96197E" w:rsidR="003D244A" w:rsidRPr="002C0044" w:rsidRDefault="003D244A" w:rsidP="002C0044">
      <w:pPr>
        <w:rPr>
          <w:b/>
          <w:color w:val="000080"/>
          <w:shd w:val="clear" w:color="auto" w:fill="D9D9D9"/>
        </w:rPr>
      </w:pPr>
    </w:p>
    <w:p w14:paraId="66F8B473" w14:textId="472C151E" w:rsidR="0054668A" w:rsidRDefault="0054668A">
      <w:pPr>
        <w:rPr>
          <w:b/>
          <w:color w:val="FFFF99"/>
          <w:sz w:val="8"/>
          <w:szCs w:val="8"/>
          <w:highlight w:val="darkBlue"/>
        </w:rPr>
      </w:pPr>
      <w:r>
        <w:rPr>
          <w:b/>
          <w:color w:val="FFFF99"/>
          <w:sz w:val="8"/>
          <w:szCs w:val="8"/>
          <w:highlight w:val="darkBlue"/>
        </w:rPr>
        <w:br w:type="page"/>
      </w:r>
    </w:p>
    <w:p w14:paraId="5A73EE00" w14:textId="784AC1C6" w:rsidR="003D244A" w:rsidRPr="003D7BFE" w:rsidRDefault="003D244A" w:rsidP="003D7BFE">
      <w:pPr>
        <w:rPr>
          <w:b/>
          <w:color w:val="FFFF99"/>
          <w:sz w:val="8"/>
          <w:szCs w:val="8"/>
          <w:highlight w:val="darkBlue"/>
        </w:rPr>
      </w:pPr>
      <w:r w:rsidRPr="003D7BFE">
        <w:rPr>
          <w:b/>
          <w:color w:val="FFFF99"/>
          <w:sz w:val="8"/>
          <w:szCs w:val="8"/>
          <w:highlight w:val="darkBlue"/>
        </w:rPr>
        <w:lastRenderedPageBreak/>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highlight w:val="darkBlue"/>
        </w:rPr>
        <w:t xml:space="preserve">  </w:t>
      </w:r>
    </w:p>
    <w:p w14:paraId="2C7E5622" w14:textId="77777777" w:rsidR="003D244A" w:rsidRPr="00E72202" w:rsidRDefault="003D244A" w:rsidP="003D7BFE">
      <w:pPr>
        <w:rPr>
          <w:b/>
          <w:color w:val="000080"/>
          <w:sz w:val="28"/>
          <w:szCs w:val="28"/>
        </w:rPr>
      </w:pPr>
      <w:r w:rsidRPr="00E72202">
        <w:rPr>
          <w:b/>
          <w:color w:val="000080"/>
          <w:sz w:val="28"/>
          <w:szCs w:val="28"/>
        </w:rPr>
        <w:t xml:space="preserve">                                                      III. RESULTS</w:t>
      </w:r>
      <w:r w:rsidRPr="00E72202">
        <w:rPr>
          <w:b/>
          <w:color w:val="000080"/>
          <w:sz w:val="28"/>
          <w:szCs w:val="28"/>
        </w:rPr>
        <w:tab/>
      </w:r>
      <w:r w:rsidRPr="00E72202">
        <w:rPr>
          <w:b/>
          <w:color w:val="000080"/>
          <w:sz w:val="28"/>
          <w:szCs w:val="28"/>
        </w:rPr>
        <w:tab/>
      </w:r>
      <w:r w:rsidRPr="00E72202">
        <w:rPr>
          <w:b/>
          <w:color w:val="000080"/>
          <w:sz w:val="28"/>
          <w:szCs w:val="28"/>
        </w:rPr>
        <w:tab/>
      </w:r>
      <w:r w:rsidRPr="00E72202">
        <w:rPr>
          <w:b/>
          <w:color w:val="000080"/>
          <w:sz w:val="28"/>
          <w:szCs w:val="28"/>
        </w:rPr>
        <w:tab/>
      </w:r>
      <w:r w:rsidRPr="00E72202">
        <w:rPr>
          <w:b/>
          <w:color w:val="000080"/>
          <w:sz w:val="28"/>
          <w:szCs w:val="28"/>
        </w:rPr>
        <w:tab/>
      </w:r>
      <w:r w:rsidRPr="00E72202">
        <w:rPr>
          <w:b/>
          <w:color w:val="000080"/>
          <w:sz w:val="28"/>
          <w:szCs w:val="28"/>
        </w:rPr>
        <w:tab/>
      </w:r>
    </w:p>
    <w:p w14:paraId="05BB31EB"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7976B67F" w14:textId="77777777" w:rsidR="003D244A" w:rsidRDefault="003D244A" w:rsidP="003D7BFE">
      <w:pPr>
        <w:jc w:val="both"/>
      </w:pPr>
    </w:p>
    <w:p w14:paraId="5A4413D5" w14:textId="77777777" w:rsidR="00124F4B" w:rsidRPr="00124F4B" w:rsidRDefault="003D244A" w:rsidP="00C84C03">
      <w:pPr>
        <w:jc w:val="both"/>
        <w:rPr>
          <w:color w:val="000000"/>
        </w:rPr>
      </w:pPr>
      <w:r w:rsidRPr="00763413">
        <w:rPr>
          <w:color w:val="000000"/>
        </w:rPr>
        <w:t>Report section III summarizes the results of data analyses, including statistical and qualitat</w:t>
      </w:r>
      <w:r w:rsidR="00763413" w:rsidRPr="00763413">
        <w:rPr>
          <w:color w:val="000000"/>
        </w:rPr>
        <w:t xml:space="preserve">ive </w:t>
      </w:r>
      <w:r w:rsidR="00763413" w:rsidRPr="005102F2">
        <w:rPr>
          <w:color w:val="000000"/>
        </w:rPr>
        <w:t>results</w:t>
      </w:r>
      <w:r w:rsidRPr="005102F2">
        <w:rPr>
          <w:color w:val="000000"/>
        </w:rPr>
        <w:t>.  The first subsection demonstrates the closeness of the samples on the quantitative outcome measures at baseline. The second subsection</w:t>
      </w:r>
      <w:r w:rsidRPr="005102F2">
        <w:t xml:space="preserve"> addresses research questions one</w:t>
      </w:r>
      <w:r w:rsidRPr="005102F2">
        <w:rPr>
          <w:color w:val="000000"/>
        </w:rPr>
        <w:t>, assessing baseline to end-of-year achi</w:t>
      </w:r>
      <w:r w:rsidR="004D106C" w:rsidRPr="005102F2">
        <w:rPr>
          <w:color w:val="000000"/>
        </w:rPr>
        <w:t>evement gains for iLit students</w:t>
      </w:r>
      <w:r w:rsidRPr="005102F2">
        <w:rPr>
          <w:color w:val="000000"/>
        </w:rPr>
        <w:t xml:space="preserve">. The third subsection addresses research question two, comparing achievement </w:t>
      </w:r>
      <w:r w:rsidR="005102F2" w:rsidRPr="005102F2">
        <w:rPr>
          <w:color w:val="000000"/>
        </w:rPr>
        <w:t xml:space="preserve">gains </w:t>
      </w:r>
      <w:r w:rsidRPr="005102F2">
        <w:rPr>
          <w:color w:val="000000"/>
        </w:rPr>
        <w:t>for the iLit group to that of the comparison gr</w:t>
      </w:r>
      <w:r w:rsidR="00124F4B" w:rsidRPr="005102F2">
        <w:rPr>
          <w:color w:val="000000"/>
        </w:rPr>
        <w:t>oup</w:t>
      </w:r>
      <w:r w:rsidR="00587623" w:rsidRPr="005102F2">
        <w:rPr>
          <w:color w:val="000000"/>
        </w:rPr>
        <w:t>.</w:t>
      </w:r>
      <w:r w:rsidR="00124F4B" w:rsidRPr="005102F2">
        <w:rPr>
          <w:color w:val="000000"/>
        </w:rPr>
        <w:t xml:space="preserve">  </w:t>
      </w:r>
      <w:r w:rsidRPr="005102F2">
        <w:rPr>
          <w:color w:val="000000"/>
        </w:rPr>
        <w:t xml:space="preserve">Lastly, subsections four and five </w:t>
      </w:r>
      <w:r w:rsidRPr="005102F2">
        <w:t>address research questions three and five.  That is, do iLit s</w:t>
      </w:r>
      <w:r w:rsidRPr="005102F2">
        <w:rPr>
          <w:color w:val="000000"/>
        </w:rPr>
        <w:t>tudents demonstrate more positive attitudes toward literacy and literacy instruction</w:t>
      </w:r>
      <w:r w:rsidRPr="005102F2">
        <w:t xml:space="preserve">, and, </w:t>
      </w:r>
      <w:r w:rsidRPr="005102F2">
        <w:rPr>
          <w:color w:val="000000"/>
        </w:rPr>
        <w:t>how did teachers and students react to</w:t>
      </w:r>
      <w:r w:rsidRPr="005102F2">
        <w:t xml:space="preserve"> the</w:t>
      </w:r>
      <w:r w:rsidRPr="005102F2">
        <w:rPr>
          <w:color w:val="000000"/>
        </w:rPr>
        <w:t xml:space="preserve"> program?</w:t>
      </w:r>
      <w:r w:rsidRPr="00124F4B">
        <w:rPr>
          <w:color w:val="000000"/>
        </w:rPr>
        <w:t xml:space="preserve">  </w:t>
      </w:r>
      <w:r w:rsidR="00C84C03" w:rsidRPr="00124F4B">
        <w:rPr>
          <w:color w:val="000000"/>
        </w:rPr>
        <w:t xml:space="preserve"> </w:t>
      </w:r>
    </w:p>
    <w:p w14:paraId="00B9A93A" w14:textId="77777777" w:rsidR="00124F4B" w:rsidRDefault="00124F4B" w:rsidP="00C84C03">
      <w:pPr>
        <w:jc w:val="both"/>
        <w:rPr>
          <w:color w:val="000000"/>
          <w:highlight w:val="yellow"/>
        </w:rPr>
      </w:pPr>
    </w:p>
    <w:p w14:paraId="6D9DB730" w14:textId="77777777" w:rsidR="003D244A" w:rsidRDefault="003D244A" w:rsidP="003D7BFE"/>
    <w:p w14:paraId="56899137"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highlight w:val="darkBlue"/>
        </w:rPr>
        <w:t xml:space="preserve">  </w:t>
      </w:r>
    </w:p>
    <w:p w14:paraId="7694DC32" w14:textId="77777777" w:rsidR="003D244A" w:rsidRPr="000D4568" w:rsidRDefault="003D244A" w:rsidP="003D7BFE">
      <w:pPr>
        <w:jc w:val="both"/>
        <w:rPr>
          <w:b/>
          <w:i/>
          <w:color w:val="000080"/>
          <w:sz w:val="28"/>
          <w:szCs w:val="28"/>
        </w:rPr>
      </w:pPr>
      <w:r w:rsidRPr="000D4568">
        <w:rPr>
          <w:b/>
          <w:i/>
          <w:color w:val="000080"/>
          <w:sz w:val="28"/>
          <w:szCs w:val="28"/>
        </w:rPr>
        <w:t xml:space="preserve">  Baseline Group Equivalence</w:t>
      </w:r>
    </w:p>
    <w:p w14:paraId="47D0559C"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highlight w:val="darkBlue"/>
        </w:rPr>
        <w:t xml:space="preserve">  </w:t>
      </w:r>
    </w:p>
    <w:p w14:paraId="1E712DCC" w14:textId="77777777" w:rsidR="003D244A" w:rsidRPr="00C13EEA" w:rsidRDefault="003D244A" w:rsidP="003D7BFE"/>
    <w:p w14:paraId="76F6A2B4" w14:textId="40C957E9" w:rsidR="004E068D" w:rsidRDefault="004E068D" w:rsidP="00C84C03">
      <w:pPr>
        <w:jc w:val="both"/>
      </w:pPr>
      <w:r w:rsidRPr="00C13EEA">
        <w:t>As would be expected for a sample of below grade level students, the average baseline achievement performance was well below the median of the norm group</w:t>
      </w:r>
      <w:r w:rsidR="00C84C03" w:rsidRPr="00C13EEA">
        <w:t xml:space="preserve"> (i.e., see </w:t>
      </w:r>
      <w:r w:rsidR="00C84C03" w:rsidRPr="00CA3571">
        <w:t xml:space="preserve">Table </w:t>
      </w:r>
      <w:r w:rsidR="00CA3571" w:rsidRPr="00CA3571">
        <w:t>5</w:t>
      </w:r>
      <w:r w:rsidR="00587623" w:rsidRPr="00CA3571">
        <w:t>).</w:t>
      </w:r>
    </w:p>
    <w:p w14:paraId="073E57FF" w14:textId="77777777" w:rsidR="00974E3E" w:rsidRPr="00C13EEA" w:rsidRDefault="00974E3E" w:rsidP="00C84C03">
      <w:pPr>
        <w:jc w:val="both"/>
      </w:pPr>
    </w:p>
    <w:p w14:paraId="6ECCCB0C" w14:textId="77777777" w:rsidR="00C13EEA" w:rsidRPr="002B482F" w:rsidRDefault="00C13EEA" w:rsidP="00C13EE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382"/>
        <w:gridCol w:w="1778"/>
        <w:gridCol w:w="1250"/>
        <w:gridCol w:w="1800"/>
        <w:gridCol w:w="1360"/>
      </w:tblGrid>
      <w:tr w:rsidR="00C13EEA" w:rsidRPr="00A6118E" w14:paraId="0211B038" w14:textId="77777777" w:rsidTr="00970EE2">
        <w:trPr>
          <w:trHeight w:val="469"/>
          <w:jc w:val="center"/>
        </w:trPr>
        <w:tc>
          <w:tcPr>
            <w:tcW w:w="2807" w:type="dxa"/>
            <w:gridSpan w:val="2"/>
            <w:tcBorders>
              <w:right w:val="nil"/>
            </w:tcBorders>
            <w:shd w:val="clear" w:color="auto" w:fill="0000FF"/>
            <w:vAlign w:val="center"/>
          </w:tcPr>
          <w:p w14:paraId="41968EB5" w14:textId="4CEF00E9" w:rsidR="00C13EEA" w:rsidRPr="00CA3571" w:rsidRDefault="00C13EEA" w:rsidP="00911421">
            <w:pPr>
              <w:spacing w:before="40" w:after="80"/>
              <w:rPr>
                <w:rFonts w:ascii="Gill Sans MT" w:hAnsi="Gill Sans MT"/>
                <w:color w:val="FFFF00"/>
              </w:rPr>
            </w:pPr>
            <w:r w:rsidRPr="00CA3571">
              <w:rPr>
                <w:rFonts w:ascii="Gill Sans MT" w:hAnsi="Gill Sans MT"/>
                <w:color w:val="FFFF00"/>
              </w:rPr>
              <w:t xml:space="preserve">Table </w:t>
            </w:r>
            <w:r w:rsidR="00CA3571" w:rsidRPr="00CA3571">
              <w:rPr>
                <w:rFonts w:ascii="Gill Sans MT" w:hAnsi="Gill Sans MT"/>
                <w:color w:val="FFFF00"/>
              </w:rPr>
              <w:t>5</w:t>
            </w:r>
          </w:p>
        </w:tc>
        <w:tc>
          <w:tcPr>
            <w:tcW w:w="6188" w:type="dxa"/>
            <w:gridSpan w:val="4"/>
            <w:shd w:val="clear" w:color="auto" w:fill="0000FF"/>
            <w:vAlign w:val="center"/>
          </w:tcPr>
          <w:p w14:paraId="47ED9FA1" w14:textId="77777777" w:rsidR="00C13EEA" w:rsidRPr="00686E00" w:rsidRDefault="00C13EEA" w:rsidP="00970EE2">
            <w:pPr>
              <w:spacing w:before="40" w:after="80"/>
              <w:jc w:val="center"/>
              <w:rPr>
                <w:rFonts w:ascii="Gill Sans MT" w:hAnsi="Gill Sans MT"/>
                <w:color w:val="FFFF00"/>
              </w:rPr>
            </w:pPr>
            <w:r>
              <w:rPr>
                <w:rFonts w:ascii="Gill Sans MT" w:hAnsi="Gill Sans MT"/>
                <w:color w:val="FFFF00"/>
              </w:rPr>
              <w:t xml:space="preserve">2013 </w:t>
            </w:r>
            <w:r w:rsidRPr="00686E00">
              <w:rPr>
                <w:rFonts w:ascii="Gill Sans MT" w:hAnsi="Gill Sans MT"/>
                <w:color w:val="FFFF00"/>
              </w:rPr>
              <w:t>Baseline Study Group Scores</w:t>
            </w:r>
          </w:p>
        </w:tc>
      </w:tr>
      <w:tr w:rsidR="00C13EEA" w:rsidRPr="00A6118E" w14:paraId="6AA7E8DE" w14:textId="77777777" w:rsidTr="00970EE2">
        <w:trPr>
          <w:trHeight w:val="73"/>
          <w:jc w:val="center"/>
        </w:trPr>
        <w:tc>
          <w:tcPr>
            <w:tcW w:w="2425" w:type="dxa"/>
            <w:tcBorders>
              <w:bottom w:val="single" w:sz="4" w:space="0" w:color="auto"/>
              <w:right w:val="nil"/>
            </w:tcBorders>
            <w:shd w:val="clear" w:color="auto" w:fill="CCCCCC"/>
            <w:vAlign w:val="center"/>
          </w:tcPr>
          <w:p w14:paraId="7BA207D1" w14:textId="77777777" w:rsidR="00C13EEA" w:rsidRPr="0055620E" w:rsidRDefault="00C13EEA" w:rsidP="00974E3E">
            <w:pPr>
              <w:spacing w:before="60" w:after="60"/>
              <w:jc w:val="center"/>
              <w:rPr>
                <w:rFonts w:ascii="Gill Sans MT" w:hAnsi="Gill Sans MT"/>
                <w:sz w:val="20"/>
                <w:szCs w:val="20"/>
              </w:rPr>
            </w:pPr>
            <w:r w:rsidRPr="0055620E">
              <w:rPr>
                <w:rFonts w:ascii="Gill Sans MT" w:hAnsi="Gill Sans MT"/>
                <w:sz w:val="20"/>
                <w:szCs w:val="20"/>
              </w:rPr>
              <w:t>Measure</w:t>
            </w:r>
          </w:p>
        </w:tc>
        <w:tc>
          <w:tcPr>
            <w:tcW w:w="2160" w:type="dxa"/>
            <w:gridSpan w:val="2"/>
            <w:tcBorders>
              <w:left w:val="nil"/>
              <w:bottom w:val="single" w:sz="4" w:space="0" w:color="auto"/>
              <w:right w:val="nil"/>
            </w:tcBorders>
            <w:shd w:val="clear" w:color="auto" w:fill="CCCCCC"/>
            <w:vAlign w:val="bottom"/>
          </w:tcPr>
          <w:p w14:paraId="1212D4F7" w14:textId="77777777" w:rsidR="00C13EEA" w:rsidRPr="00363635" w:rsidRDefault="00C13EEA" w:rsidP="00970EE2">
            <w:pPr>
              <w:spacing w:before="120" w:after="40"/>
              <w:jc w:val="center"/>
              <w:rPr>
                <w:rFonts w:ascii="Gill Sans MT" w:hAnsi="Gill Sans MT"/>
                <w:sz w:val="20"/>
                <w:szCs w:val="20"/>
              </w:rPr>
            </w:pPr>
            <w:r w:rsidRPr="00363635">
              <w:rPr>
                <w:rFonts w:ascii="Gill Sans MT" w:hAnsi="Gill Sans MT"/>
                <w:sz w:val="20"/>
                <w:szCs w:val="20"/>
              </w:rPr>
              <w:t>iLit Mean (SD)</w:t>
            </w:r>
          </w:p>
        </w:tc>
        <w:tc>
          <w:tcPr>
            <w:tcW w:w="1250" w:type="dxa"/>
            <w:tcBorders>
              <w:left w:val="nil"/>
              <w:bottom w:val="single" w:sz="4" w:space="0" w:color="auto"/>
              <w:right w:val="nil"/>
            </w:tcBorders>
            <w:shd w:val="clear" w:color="auto" w:fill="CCCCCC"/>
            <w:vAlign w:val="bottom"/>
          </w:tcPr>
          <w:p w14:paraId="7780D1D5" w14:textId="77777777" w:rsidR="00C13EEA" w:rsidRPr="00A07E1E" w:rsidRDefault="00C13EEA" w:rsidP="00970EE2">
            <w:pPr>
              <w:spacing w:before="40" w:after="40"/>
              <w:jc w:val="center"/>
              <w:rPr>
                <w:rFonts w:ascii="Gill Sans MT" w:hAnsi="Gill Sans MT"/>
                <w:color w:val="FF0000"/>
                <w:sz w:val="20"/>
                <w:szCs w:val="20"/>
              </w:rPr>
            </w:pPr>
            <w:r>
              <w:rPr>
                <w:rFonts w:ascii="Gill Sans MT" w:hAnsi="Gill Sans MT"/>
                <w:sz w:val="20"/>
                <w:szCs w:val="20"/>
              </w:rPr>
              <w:t>iLit PR</w:t>
            </w:r>
          </w:p>
        </w:tc>
        <w:tc>
          <w:tcPr>
            <w:tcW w:w="1800" w:type="dxa"/>
            <w:tcBorders>
              <w:left w:val="nil"/>
              <w:bottom w:val="single" w:sz="4" w:space="0" w:color="auto"/>
              <w:right w:val="nil"/>
            </w:tcBorders>
            <w:shd w:val="clear" w:color="auto" w:fill="CCCCCC"/>
            <w:vAlign w:val="bottom"/>
          </w:tcPr>
          <w:p w14:paraId="23FECADF" w14:textId="77777777" w:rsidR="00C13EEA" w:rsidRPr="00363635" w:rsidRDefault="00C13EEA" w:rsidP="00970EE2">
            <w:pPr>
              <w:spacing w:before="120" w:after="40"/>
              <w:jc w:val="center"/>
              <w:rPr>
                <w:rFonts w:ascii="Gill Sans MT" w:hAnsi="Gill Sans MT"/>
                <w:sz w:val="20"/>
                <w:szCs w:val="20"/>
              </w:rPr>
            </w:pPr>
            <w:r w:rsidRPr="00363635">
              <w:rPr>
                <w:rFonts w:ascii="Gill Sans MT" w:hAnsi="Gill Sans MT"/>
                <w:sz w:val="20"/>
                <w:szCs w:val="20"/>
              </w:rPr>
              <w:t xml:space="preserve"> </w:t>
            </w:r>
            <w:r>
              <w:rPr>
                <w:rFonts w:ascii="Gill Sans MT" w:hAnsi="Gill Sans MT"/>
                <w:sz w:val="20"/>
                <w:szCs w:val="20"/>
              </w:rPr>
              <w:t>CP</w:t>
            </w:r>
            <w:r w:rsidRPr="00363635">
              <w:rPr>
                <w:rFonts w:ascii="Gill Sans MT" w:hAnsi="Gill Sans MT"/>
                <w:sz w:val="20"/>
                <w:szCs w:val="20"/>
              </w:rPr>
              <w:t xml:space="preserve"> Mean (SD)</w:t>
            </w:r>
          </w:p>
        </w:tc>
        <w:tc>
          <w:tcPr>
            <w:tcW w:w="1360" w:type="dxa"/>
            <w:tcBorders>
              <w:left w:val="nil"/>
              <w:bottom w:val="single" w:sz="4" w:space="0" w:color="auto"/>
            </w:tcBorders>
            <w:shd w:val="clear" w:color="auto" w:fill="CCCCCC"/>
            <w:vAlign w:val="bottom"/>
          </w:tcPr>
          <w:p w14:paraId="00B99579" w14:textId="77777777" w:rsidR="00C13EEA" w:rsidRPr="0055620E" w:rsidRDefault="00C13EEA" w:rsidP="00970EE2">
            <w:pPr>
              <w:spacing w:before="120" w:after="40"/>
              <w:jc w:val="center"/>
              <w:rPr>
                <w:rFonts w:ascii="Gill Sans MT" w:hAnsi="Gill Sans MT"/>
                <w:sz w:val="20"/>
                <w:szCs w:val="20"/>
              </w:rPr>
            </w:pPr>
            <w:r>
              <w:rPr>
                <w:rFonts w:ascii="Gill Sans MT" w:hAnsi="Gill Sans MT"/>
                <w:sz w:val="20"/>
                <w:szCs w:val="20"/>
              </w:rPr>
              <w:t>CP PR</w:t>
            </w:r>
          </w:p>
        </w:tc>
      </w:tr>
      <w:tr w:rsidR="00C13EEA" w:rsidRPr="001F27C4" w14:paraId="7A9424BB" w14:textId="77777777" w:rsidTr="00970EE2">
        <w:trPr>
          <w:trHeight w:val="365"/>
          <w:jc w:val="center"/>
        </w:trPr>
        <w:tc>
          <w:tcPr>
            <w:tcW w:w="2425" w:type="dxa"/>
            <w:tcBorders>
              <w:bottom w:val="single" w:sz="4" w:space="0" w:color="auto"/>
              <w:right w:val="nil"/>
            </w:tcBorders>
          </w:tcPr>
          <w:p w14:paraId="469D8968" w14:textId="77777777" w:rsidR="00C13EEA" w:rsidRPr="0095737A" w:rsidRDefault="00C13EEA" w:rsidP="00970EE2">
            <w:pPr>
              <w:spacing w:before="40" w:after="40"/>
              <w:rPr>
                <w:rFonts w:ascii="Gill Sans MT" w:hAnsi="Gill Sans MT" w:cs="Arial"/>
                <w:sz w:val="20"/>
                <w:szCs w:val="20"/>
              </w:rPr>
            </w:pPr>
            <w:r>
              <w:rPr>
                <w:rFonts w:ascii="Gill Sans MT" w:hAnsi="Gill Sans MT"/>
                <w:sz w:val="20"/>
                <w:szCs w:val="20"/>
              </w:rPr>
              <w:t>GR</w:t>
            </w:r>
            <w:r w:rsidRPr="0095737A">
              <w:rPr>
                <w:rFonts w:ascii="Gill Sans MT" w:hAnsi="Gill Sans MT"/>
                <w:sz w:val="20"/>
                <w:szCs w:val="20"/>
              </w:rPr>
              <w:t xml:space="preserve">ADE </w:t>
            </w:r>
            <w:r>
              <w:rPr>
                <w:rFonts w:ascii="Gill Sans MT" w:hAnsi="Gill Sans MT"/>
                <w:sz w:val="20"/>
                <w:szCs w:val="20"/>
              </w:rPr>
              <w:t>Total</w:t>
            </w:r>
          </w:p>
        </w:tc>
        <w:tc>
          <w:tcPr>
            <w:tcW w:w="2160" w:type="dxa"/>
            <w:gridSpan w:val="2"/>
            <w:tcBorders>
              <w:left w:val="nil"/>
              <w:bottom w:val="single" w:sz="4" w:space="0" w:color="auto"/>
              <w:right w:val="nil"/>
            </w:tcBorders>
            <w:vAlign w:val="center"/>
          </w:tcPr>
          <w:p w14:paraId="24AD2A48" w14:textId="77777777" w:rsidR="00C13EEA" w:rsidRPr="001F27C4" w:rsidRDefault="00C13EEA" w:rsidP="00970EE2">
            <w:pPr>
              <w:keepNext/>
              <w:adjustRightInd w:val="0"/>
              <w:spacing w:before="40" w:after="40"/>
              <w:jc w:val="center"/>
              <w:rPr>
                <w:rFonts w:ascii="Gill Sans MT" w:hAnsi="Gill Sans MT"/>
                <w:color w:val="000000"/>
                <w:sz w:val="20"/>
                <w:szCs w:val="20"/>
              </w:rPr>
            </w:pPr>
            <w:r>
              <w:rPr>
                <w:rFonts w:ascii="Gill Sans MT" w:hAnsi="Gill Sans MT"/>
                <w:color w:val="000000"/>
                <w:sz w:val="20"/>
                <w:szCs w:val="20"/>
              </w:rPr>
              <w:t>36.74 (13.15</w:t>
            </w:r>
            <w:r w:rsidRPr="001F27C4">
              <w:rPr>
                <w:rFonts w:ascii="Gill Sans MT" w:hAnsi="Gill Sans MT"/>
                <w:color w:val="000000"/>
                <w:sz w:val="20"/>
                <w:szCs w:val="20"/>
              </w:rPr>
              <w:t>)</w:t>
            </w:r>
          </w:p>
        </w:tc>
        <w:tc>
          <w:tcPr>
            <w:tcW w:w="1250" w:type="dxa"/>
            <w:tcBorders>
              <w:left w:val="nil"/>
              <w:bottom w:val="single" w:sz="4" w:space="0" w:color="auto"/>
              <w:right w:val="nil"/>
            </w:tcBorders>
            <w:vAlign w:val="center"/>
          </w:tcPr>
          <w:p w14:paraId="223BDB48" w14:textId="77777777" w:rsidR="00C13EEA" w:rsidRPr="001C1B23" w:rsidRDefault="00C13EEA" w:rsidP="00970EE2">
            <w:pPr>
              <w:keepNext/>
              <w:adjustRightInd w:val="0"/>
              <w:spacing w:before="40" w:after="40"/>
              <w:jc w:val="center"/>
              <w:rPr>
                <w:rFonts w:ascii="Gill Sans MT" w:hAnsi="Gill Sans MT"/>
                <w:sz w:val="20"/>
                <w:szCs w:val="20"/>
              </w:rPr>
            </w:pPr>
            <w:r>
              <w:rPr>
                <w:rFonts w:ascii="Gill Sans MT" w:hAnsi="Gill Sans MT"/>
                <w:sz w:val="20"/>
                <w:szCs w:val="20"/>
              </w:rPr>
              <w:t>26</w:t>
            </w:r>
          </w:p>
        </w:tc>
        <w:tc>
          <w:tcPr>
            <w:tcW w:w="1800" w:type="dxa"/>
            <w:tcBorders>
              <w:left w:val="nil"/>
              <w:bottom w:val="single" w:sz="4" w:space="0" w:color="auto"/>
              <w:right w:val="nil"/>
            </w:tcBorders>
            <w:vAlign w:val="center"/>
          </w:tcPr>
          <w:p w14:paraId="6D582BCD" w14:textId="77777777" w:rsidR="00C13EEA" w:rsidRPr="001F27C4" w:rsidRDefault="00C13EEA" w:rsidP="00970EE2">
            <w:pPr>
              <w:keepNext/>
              <w:adjustRightInd w:val="0"/>
              <w:spacing w:before="40" w:after="40"/>
              <w:jc w:val="center"/>
              <w:rPr>
                <w:rFonts w:ascii="Gill Sans MT" w:hAnsi="Gill Sans MT"/>
                <w:color w:val="000000"/>
                <w:sz w:val="20"/>
                <w:szCs w:val="20"/>
              </w:rPr>
            </w:pPr>
            <w:r>
              <w:rPr>
                <w:rFonts w:ascii="Gill Sans MT" w:hAnsi="Gill Sans MT"/>
                <w:color w:val="000000"/>
                <w:sz w:val="20"/>
                <w:szCs w:val="20"/>
              </w:rPr>
              <w:t>36.00 (12.88</w:t>
            </w:r>
            <w:r w:rsidRPr="001F27C4">
              <w:rPr>
                <w:rFonts w:ascii="Gill Sans MT" w:hAnsi="Gill Sans MT"/>
                <w:color w:val="000000"/>
                <w:sz w:val="20"/>
                <w:szCs w:val="20"/>
              </w:rPr>
              <w:t>)</w:t>
            </w:r>
          </w:p>
        </w:tc>
        <w:tc>
          <w:tcPr>
            <w:tcW w:w="1360" w:type="dxa"/>
            <w:tcBorders>
              <w:left w:val="nil"/>
              <w:bottom w:val="single" w:sz="4" w:space="0" w:color="auto"/>
            </w:tcBorders>
            <w:vAlign w:val="center"/>
          </w:tcPr>
          <w:p w14:paraId="6A953EB9" w14:textId="77777777" w:rsidR="00C13EEA" w:rsidRPr="001F27C4" w:rsidRDefault="00C13EEA" w:rsidP="00970EE2">
            <w:pPr>
              <w:keepNext/>
              <w:adjustRightInd w:val="0"/>
              <w:spacing w:before="40" w:after="40"/>
              <w:jc w:val="center"/>
              <w:rPr>
                <w:rFonts w:ascii="Gill Sans MT" w:hAnsi="Gill Sans MT"/>
                <w:color w:val="000000"/>
                <w:sz w:val="20"/>
                <w:szCs w:val="20"/>
              </w:rPr>
            </w:pPr>
            <w:r>
              <w:rPr>
                <w:rFonts w:ascii="Gill Sans MT" w:hAnsi="Gill Sans MT"/>
                <w:color w:val="000000"/>
                <w:sz w:val="20"/>
                <w:szCs w:val="20"/>
              </w:rPr>
              <w:t>24</w:t>
            </w:r>
          </w:p>
        </w:tc>
      </w:tr>
      <w:tr w:rsidR="00C13EEA" w:rsidRPr="001F27C4" w14:paraId="19C60141" w14:textId="77777777" w:rsidTr="00970EE2">
        <w:trPr>
          <w:trHeight w:val="365"/>
          <w:jc w:val="center"/>
        </w:trPr>
        <w:tc>
          <w:tcPr>
            <w:tcW w:w="2425" w:type="dxa"/>
            <w:tcBorders>
              <w:top w:val="single" w:sz="4" w:space="0" w:color="auto"/>
              <w:right w:val="nil"/>
            </w:tcBorders>
          </w:tcPr>
          <w:p w14:paraId="20521EDC" w14:textId="77777777" w:rsidR="00C13EEA" w:rsidRPr="00F859F1" w:rsidRDefault="00C13EEA" w:rsidP="00970EE2">
            <w:pPr>
              <w:spacing w:before="40" w:after="40"/>
              <w:rPr>
                <w:rFonts w:ascii="Gill Sans MT" w:hAnsi="Gill Sans MT" w:cs="Arial"/>
                <w:sz w:val="20"/>
                <w:szCs w:val="20"/>
                <w:highlight w:val="yellow"/>
              </w:rPr>
            </w:pPr>
            <w:r w:rsidRPr="00F859F1">
              <w:rPr>
                <w:rFonts w:ascii="Gill Sans MT" w:hAnsi="Gill Sans MT"/>
                <w:sz w:val="20"/>
                <w:szCs w:val="20"/>
              </w:rPr>
              <w:t>Vocabulary</w:t>
            </w:r>
          </w:p>
        </w:tc>
        <w:tc>
          <w:tcPr>
            <w:tcW w:w="2160" w:type="dxa"/>
            <w:gridSpan w:val="2"/>
            <w:tcBorders>
              <w:top w:val="single" w:sz="4" w:space="0" w:color="auto"/>
              <w:left w:val="nil"/>
              <w:right w:val="nil"/>
            </w:tcBorders>
            <w:vAlign w:val="center"/>
          </w:tcPr>
          <w:p w14:paraId="09769A65" w14:textId="77777777" w:rsidR="00C13EEA" w:rsidRPr="00F859F1" w:rsidRDefault="00C13EEA" w:rsidP="00970EE2">
            <w:pPr>
              <w:keepNext/>
              <w:adjustRightInd w:val="0"/>
              <w:spacing w:before="40" w:after="40"/>
              <w:jc w:val="center"/>
              <w:rPr>
                <w:rFonts w:ascii="Gill Sans MT" w:hAnsi="Gill Sans MT"/>
                <w:color w:val="000000"/>
                <w:sz w:val="20"/>
                <w:szCs w:val="20"/>
              </w:rPr>
            </w:pPr>
            <w:r>
              <w:rPr>
                <w:rFonts w:ascii="Gill Sans MT" w:hAnsi="Gill Sans MT"/>
                <w:color w:val="000000"/>
                <w:sz w:val="20"/>
                <w:szCs w:val="20"/>
              </w:rPr>
              <w:t>13.97</w:t>
            </w:r>
            <w:r w:rsidRPr="00F859F1">
              <w:rPr>
                <w:rFonts w:ascii="Gill Sans MT" w:hAnsi="Gill Sans MT"/>
                <w:color w:val="000000"/>
                <w:sz w:val="20"/>
                <w:szCs w:val="20"/>
              </w:rPr>
              <w:t xml:space="preserve"> (</w:t>
            </w:r>
            <w:r>
              <w:rPr>
                <w:rFonts w:ascii="Gill Sans MT" w:hAnsi="Gill Sans MT"/>
                <w:color w:val="000000"/>
                <w:sz w:val="20"/>
                <w:szCs w:val="20"/>
              </w:rPr>
              <w:t>5.24</w:t>
            </w:r>
            <w:r w:rsidRPr="00F859F1">
              <w:rPr>
                <w:rFonts w:ascii="Gill Sans MT" w:hAnsi="Gill Sans MT"/>
                <w:color w:val="000000"/>
                <w:sz w:val="20"/>
                <w:szCs w:val="20"/>
              </w:rPr>
              <w:t>)</w:t>
            </w:r>
          </w:p>
        </w:tc>
        <w:tc>
          <w:tcPr>
            <w:tcW w:w="1250" w:type="dxa"/>
            <w:tcBorders>
              <w:top w:val="single" w:sz="4" w:space="0" w:color="auto"/>
              <w:left w:val="nil"/>
              <w:right w:val="nil"/>
            </w:tcBorders>
            <w:vAlign w:val="center"/>
          </w:tcPr>
          <w:p w14:paraId="260DB836" w14:textId="77777777" w:rsidR="00C13EEA" w:rsidRPr="001C1B23" w:rsidRDefault="00C13EEA" w:rsidP="00970EE2">
            <w:pPr>
              <w:keepNext/>
              <w:adjustRightInd w:val="0"/>
              <w:spacing w:before="40" w:after="40"/>
              <w:jc w:val="center"/>
              <w:rPr>
                <w:rFonts w:ascii="Gill Sans MT" w:hAnsi="Gill Sans MT"/>
                <w:sz w:val="20"/>
                <w:szCs w:val="20"/>
              </w:rPr>
            </w:pPr>
            <w:r>
              <w:rPr>
                <w:rFonts w:ascii="Gill Sans MT" w:hAnsi="Gill Sans MT"/>
                <w:sz w:val="20"/>
                <w:szCs w:val="20"/>
              </w:rPr>
              <w:t>30</w:t>
            </w:r>
          </w:p>
        </w:tc>
        <w:tc>
          <w:tcPr>
            <w:tcW w:w="1800" w:type="dxa"/>
            <w:tcBorders>
              <w:top w:val="single" w:sz="4" w:space="0" w:color="auto"/>
              <w:left w:val="nil"/>
              <w:right w:val="nil"/>
            </w:tcBorders>
            <w:vAlign w:val="center"/>
          </w:tcPr>
          <w:p w14:paraId="7760A6D6" w14:textId="77777777" w:rsidR="00C13EEA" w:rsidRPr="00F859F1" w:rsidRDefault="00C13EEA" w:rsidP="00970EE2">
            <w:pPr>
              <w:keepNext/>
              <w:adjustRightInd w:val="0"/>
              <w:spacing w:before="40" w:after="40"/>
              <w:rPr>
                <w:rFonts w:ascii="Gill Sans MT" w:hAnsi="Gill Sans MT"/>
                <w:color w:val="000000"/>
                <w:sz w:val="20"/>
                <w:szCs w:val="20"/>
              </w:rPr>
            </w:pPr>
            <w:r>
              <w:rPr>
                <w:rFonts w:ascii="Gill Sans MT" w:hAnsi="Gill Sans MT"/>
                <w:color w:val="000000"/>
                <w:sz w:val="20"/>
                <w:szCs w:val="20"/>
              </w:rPr>
              <w:t xml:space="preserve">      14.31</w:t>
            </w:r>
            <w:r w:rsidRPr="00F859F1">
              <w:rPr>
                <w:rFonts w:ascii="Gill Sans MT" w:hAnsi="Gill Sans MT"/>
                <w:color w:val="000000"/>
                <w:sz w:val="20"/>
                <w:szCs w:val="20"/>
              </w:rPr>
              <w:t xml:space="preserve"> (</w:t>
            </w:r>
            <w:r>
              <w:rPr>
                <w:rFonts w:ascii="Gill Sans MT" w:hAnsi="Gill Sans MT"/>
                <w:color w:val="000000"/>
                <w:sz w:val="20"/>
                <w:szCs w:val="20"/>
              </w:rPr>
              <w:t>5.26</w:t>
            </w:r>
            <w:r w:rsidRPr="00F859F1">
              <w:rPr>
                <w:rFonts w:ascii="Gill Sans MT" w:hAnsi="Gill Sans MT"/>
                <w:color w:val="000000"/>
                <w:sz w:val="20"/>
                <w:szCs w:val="20"/>
              </w:rPr>
              <w:t>)</w:t>
            </w:r>
          </w:p>
        </w:tc>
        <w:tc>
          <w:tcPr>
            <w:tcW w:w="1360" w:type="dxa"/>
            <w:tcBorders>
              <w:top w:val="single" w:sz="4" w:space="0" w:color="auto"/>
              <w:left w:val="nil"/>
            </w:tcBorders>
            <w:vAlign w:val="center"/>
          </w:tcPr>
          <w:p w14:paraId="51ED5AEC" w14:textId="77777777" w:rsidR="00C13EEA" w:rsidRPr="0022615B" w:rsidRDefault="00C13EEA" w:rsidP="00970EE2">
            <w:pPr>
              <w:keepNext/>
              <w:adjustRightInd w:val="0"/>
              <w:spacing w:before="40" w:after="40"/>
              <w:jc w:val="center"/>
              <w:rPr>
                <w:rFonts w:ascii="Gill Sans MT" w:hAnsi="Gill Sans MT"/>
                <w:color w:val="000000"/>
                <w:sz w:val="20"/>
                <w:szCs w:val="20"/>
                <w:highlight w:val="yellow"/>
              </w:rPr>
            </w:pPr>
            <w:r>
              <w:rPr>
                <w:rFonts w:ascii="Gill Sans MT" w:hAnsi="Gill Sans MT"/>
                <w:color w:val="000000"/>
                <w:sz w:val="20"/>
                <w:szCs w:val="20"/>
              </w:rPr>
              <w:t>30</w:t>
            </w:r>
          </w:p>
        </w:tc>
      </w:tr>
      <w:tr w:rsidR="00C13EEA" w:rsidRPr="001F27C4" w14:paraId="68ED5847" w14:textId="77777777" w:rsidTr="00970EE2">
        <w:trPr>
          <w:trHeight w:val="347"/>
          <w:jc w:val="center"/>
        </w:trPr>
        <w:tc>
          <w:tcPr>
            <w:tcW w:w="2425" w:type="dxa"/>
            <w:tcBorders>
              <w:bottom w:val="nil"/>
              <w:right w:val="nil"/>
            </w:tcBorders>
          </w:tcPr>
          <w:p w14:paraId="5C2AD535" w14:textId="77777777" w:rsidR="00C13EEA" w:rsidRPr="0022615B" w:rsidRDefault="00C13EEA" w:rsidP="00970EE2">
            <w:pPr>
              <w:spacing w:before="40" w:after="40"/>
              <w:rPr>
                <w:rFonts w:ascii="Gill Sans MT" w:hAnsi="Gill Sans MT" w:cs="Arial"/>
                <w:sz w:val="20"/>
                <w:szCs w:val="20"/>
                <w:highlight w:val="yellow"/>
              </w:rPr>
            </w:pPr>
            <w:r>
              <w:rPr>
                <w:rFonts w:ascii="Gill Sans MT" w:hAnsi="Gill Sans MT"/>
                <w:sz w:val="20"/>
                <w:szCs w:val="20"/>
              </w:rPr>
              <w:t>Sentence Comprehension</w:t>
            </w:r>
          </w:p>
        </w:tc>
        <w:tc>
          <w:tcPr>
            <w:tcW w:w="2160" w:type="dxa"/>
            <w:gridSpan w:val="2"/>
            <w:tcBorders>
              <w:left w:val="nil"/>
              <w:bottom w:val="nil"/>
              <w:right w:val="nil"/>
            </w:tcBorders>
            <w:vAlign w:val="center"/>
          </w:tcPr>
          <w:p w14:paraId="72422DBD" w14:textId="77777777" w:rsidR="00C13EEA" w:rsidRPr="0022615B" w:rsidRDefault="00C13EEA" w:rsidP="00970EE2">
            <w:pPr>
              <w:keepNext/>
              <w:adjustRightInd w:val="0"/>
              <w:spacing w:before="40" w:after="40"/>
              <w:jc w:val="center"/>
              <w:rPr>
                <w:rFonts w:ascii="Gill Sans MT" w:hAnsi="Gill Sans MT"/>
                <w:color w:val="000000"/>
                <w:sz w:val="20"/>
                <w:szCs w:val="20"/>
                <w:highlight w:val="yellow"/>
              </w:rPr>
            </w:pPr>
            <w:r>
              <w:rPr>
                <w:rFonts w:ascii="Gill Sans MT" w:hAnsi="Gill Sans MT"/>
                <w:color w:val="000000"/>
                <w:sz w:val="20"/>
                <w:szCs w:val="20"/>
              </w:rPr>
              <w:t>9.13</w:t>
            </w:r>
            <w:r w:rsidRPr="00775820">
              <w:rPr>
                <w:rFonts w:ascii="Gill Sans MT" w:hAnsi="Gill Sans MT"/>
                <w:color w:val="000000"/>
                <w:sz w:val="20"/>
                <w:szCs w:val="20"/>
              </w:rPr>
              <w:t xml:space="preserve"> (</w:t>
            </w:r>
            <w:r>
              <w:rPr>
                <w:rFonts w:ascii="Gill Sans MT" w:hAnsi="Gill Sans MT"/>
                <w:color w:val="000000"/>
                <w:sz w:val="20"/>
                <w:szCs w:val="20"/>
              </w:rPr>
              <w:t>3.90</w:t>
            </w:r>
            <w:r w:rsidRPr="00775820">
              <w:rPr>
                <w:rFonts w:ascii="Gill Sans MT" w:hAnsi="Gill Sans MT"/>
                <w:color w:val="000000"/>
                <w:sz w:val="20"/>
                <w:szCs w:val="20"/>
              </w:rPr>
              <w:t>)</w:t>
            </w:r>
          </w:p>
        </w:tc>
        <w:tc>
          <w:tcPr>
            <w:tcW w:w="1250" w:type="dxa"/>
            <w:tcBorders>
              <w:left w:val="nil"/>
              <w:bottom w:val="nil"/>
              <w:right w:val="nil"/>
            </w:tcBorders>
            <w:vAlign w:val="center"/>
          </w:tcPr>
          <w:p w14:paraId="6FE1A38B" w14:textId="77777777" w:rsidR="00C13EEA" w:rsidRPr="001C1B23" w:rsidRDefault="00C13EEA" w:rsidP="00970EE2">
            <w:pPr>
              <w:keepNext/>
              <w:adjustRightInd w:val="0"/>
              <w:spacing w:before="40" w:after="40"/>
              <w:jc w:val="center"/>
              <w:rPr>
                <w:rFonts w:ascii="Gill Sans MT" w:hAnsi="Gill Sans MT"/>
                <w:sz w:val="20"/>
                <w:szCs w:val="20"/>
              </w:rPr>
            </w:pPr>
            <w:r>
              <w:rPr>
                <w:rFonts w:ascii="Gill Sans MT" w:hAnsi="Gill Sans MT"/>
                <w:sz w:val="20"/>
                <w:szCs w:val="20"/>
              </w:rPr>
              <w:t>--</w:t>
            </w:r>
          </w:p>
        </w:tc>
        <w:tc>
          <w:tcPr>
            <w:tcW w:w="1800" w:type="dxa"/>
            <w:tcBorders>
              <w:left w:val="nil"/>
              <w:bottom w:val="nil"/>
              <w:right w:val="nil"/>
            </w:tcBorders>
            <w:vAlign w:val="center"/>
          </w:tcPr>
          <w:p w14:paraId="3E4BFD50" w14:textId="77777777" w:rsidR="00C13EEA" w:rsidRPr="0022615B" w:rsidRDefault="00C13EEA" w:rsidP="00970EE2">
            <w:pPr>
              <w:keepNext/>
              <w:adjustRightInd w:val="0"/>
              <w:spacing w:before="40" w:after="40"/>
              <w:jc w:val="center"/>
              <w:rPr>
                <w:rFonts w:ascii="Gill Sans MT" w:hAnsi="Gill Sans MT"/>
                <w:color w:val="000000"/>
                <w:sz w:val="20"/>
                <w:szCs w:val="20"/>
                <w:highlight w:val="yellow"/>
              </w:rPr>
            </w:pPr>
            <w:r>
              <w:rPr>
                <w:rFonts w:ascii="Gill Sans MT" w:hAnsi="Gill Sans MT"/>
                <w:color w:val="000000"/>
                <w:sz w:val="20"/>
                <w:szCs w:val="20"/>
              </w:rPr>
              <w:t xml:space="preserve">  8.78</w:t>
            </w:r>
            <w:r w:rsidRPr="00775820">
              <w:rPr>
                <w:rFonts w:ascii="Gill Sans MT" w:hAnsi="Gill Sans MT"/>
                <w:color w:val="000000"/>
                <w:sz w:val="20"/>
                <w:szCs w:val="20"/>
              </w:rPr>
              <w:t xml:space="preserve"> (</w:t>
            </w:r>
            <w:r>
              <w:rPr>
                <w:rFonts w:ascii="Gill Sans MT" w:hAnsi="Gill Sans MT"/>
                <w:color w:val="000000"/>
                <w:sz w:val="20"/>
                <w:szCs w:val="20"/>
              </w:rPr>
              <w:t>4.05</w:t>
            </w:r>
            <w:r w:rsidRPr="00775820">
              <w:rPr>
                <w:rFonts w:ascii="Gill Sans MT" w:hAnsi="Gill Sans MT"/>
                <w:color w:val="000000"/>
                <w:sz w:val="20"/>
                <w:szCs w:val="20"/>
              </w:rPr>
              <w:t>)</w:t>
            </w:r>
          </w:p>
        </w:tc>
        <w:tc>
          <w:tcPr>
            <w:tcW w:w="1360" w:type="dxa"/>
            <w:tcBorders>
              <w:left w:val="nil"/>
              <w:bottom w:val="nil"/>
            </w:tcBorders>
            <w:vAlign w:val="center"/>
          </w:tcPr>
          <w:p w14:paraId="0441BC9C" w14:textId="77777777" w:rsidR="00C13EEA" w:rsidRPr="0022615B" w:rsidRDefault="00C13EEA" w:rsidP="00970EE2">
            <w:pPr>
              <w:keepNext/>
              <w:adjustRightInd w:val="0"/>
              <w:spacing w:before="40" w:after="40"/>
              <w:jc w:val="center"/>
              <w:rPr>
                <w:rFonts w:ascii="Gill Sans MT" w:hAnsi="Gill Sans MT"/>
                <w:color w:val="000000"/>
                <w:sz w:val="20"/>
                <w:szCs w:val="20"/>
                <w:highlight w:val="yellow"/>
              </w:rPr>
            </w:pPr>
            <w:r>
              <w:rPr>
                <w:rFonts w:ascii="Gill Sans MT" w:hAnsi="Gill Sans MT"/>
                <w:color w:val="000000"/>
                <w:sz w:val="20"/>
                <w:szCs w:val="20"/>
              </w:rPr>
              <w:t>--</w:t>
            </w:r>
          </w:p>
        </w:tc>
      </w:tr>
      <w:tr w:rsidR="00C13EEA" w:rsidRPr="001F27C4" w14:paraId="095B92BF" w14:textId="77777777" w:rsidTr="00970EE2">
        <w:trPr>
          <w:trHeight w:val="347"/>
          <w:jc w:val="center"/>
        </w:trPr>
        <w:tc>
          <w:tcPr>
            <w:tcW w:w="2425" w:type="dxa"/>
            <w:tcBorders>
              <w:bottom w:val="nil"/>
              <w:right w:val="nil"/>
            </w:tcBorders>
          </w:tcPr>
          <w:p w14:paraId="7460910E" w14:textId="77777777" w:rsidR="00C13EEA" w:rsidRPr="0022615B" w:rsidRDefault="00C13EEA" w:rsidP="00970EE2">
            <w:pPr>
              <w:spacing w:before="40" w:after="40"/>
              <w:rPr>
                <w:rFonts w:ascii="Gill Sans MT" w:hAnsi="Gill Sans MT" w:cs="Arial"/>
                <w:sz w:val="20"/>
                <w:szCs w:val="20"/>
                <w:highlight w:val="yellow"/>
              </w:rPr>
            </w:pPr>
            <w:r>
              <w:rPr>
                <w:rFonts w:ascii="Gill Sans MT" w:hAnsi="Gill Sans MT"/>
                <w:sz w:val="20"/>
                <w:szCs w:val="20"/>
              </w:rPr>
              <w:t>Listening Comprehension</w:t>
            </w:r>
          </w:p>
        </w:tc>
        <w:tc>
          <w:tcPr>
            <w:tcW w:w="2160" w:type="dxa"/>
            <w:gridSpan w:val="2"/>
            <w:tcBorders>
              <w:left w:val="nil"/>
              <w:bottom w:val="nil"/>
              <w:right w:val="nil"/>
            </w:tcBorders>
            <w:vAlign w:val="center"/>
          </w:tcPr>
          <w:p w14:paraId="37A9AA31" w14:textId="77777777" w:rsidR="00C13EEA" w:rsidRPr="0022615B" w:rsidRDefault="00C13EEA" w:rsidP="00970EE2">
            <w:pPr>
              <w:keepNext/>
              <w:adjustRightInd w:val="0"/>
              <w:spacing w:before="40" w:after="40"/>
              <w:jc w:val="center"/>
              <w:rPr>
                <w:rFonts w:ascii="Gill Sans MT" w:hAnsi="Gill Sans MT"/>
                <w:color w:val="000000"/>
                <w:sz w:val="20"/>
                <w:szCs w:val="20"/>
                <w:highlight w:val="yellow"/>
              </w:rPr>
            </w:pPr>
            <w:r>
              <w:rPr>
                <w:rFonts w:ascii="Gill Sans MT" w:hAnsi="Gill Sans MT"/>
                <w:color w:val="000000"/>
                <w:sz w:val="20"/>
                <w:szCs w:val="20"/>
              </w:rPr>
              <w:t>9.88</w:t>
            </w:r>
            <w:r w:rsidRPr="00775820">
              <w:rPr>
                <w:rFonts w:ascii="Gill Sans MT" w:hAnsi="Gill Sans MT"/>
                <w:color w:val="000000"/>
                <w:sz w:val="20"/>
                <w:szCs w:val="20"/>
              </w:rPr>
              <w:t xml:space="preserve"> (</w:t>
            </w:r>
            <w:r>
              <w:rPr>
                <w:rFonts w:ascii="Gill Sans MT" w:hAnsi="Gill Sans MT"/>
                <w:color w:val="000000"/>
                <w:sz w:val="20"/>
                <w:szCs w:val="20"/>
              </w:rPr>
              <w:t>2.63</w:t>
            </w:r>
            <w:r w:rsidRPr="00775820">
              <w:rPr>
                <w:rFonts w:ascii="Gill Sans MT" w:hAnsi="Gill Sans MT"/>
                <w:color w:val="000000"/>
                <w:sz w:val="20"/>
                <w:szCs w:val="20"/>
              </w:rPr>
              <w:t>)</w:t>
            </w:r>
          </w:p>
        </w:tc>
        <w:tc>
          <w:tcPr>
            <w:tcW w:w="1250" w:type="dxa"/>
            <w:tcBorders>
              <w:left w:val="nil"/>
              <w:bottom w:val="nil"/>
              <w:right w:val="nil"/>
            </w:tcBorders>
            <w:vAlign w:val="center"/>
          </w:tcPr>
          <w:p w14:paraId="02F2E70E" w14:textId="77777777" w:rsidR="00C13EEA" w:rsidRPr="001C1B23" w:rsidRDefault="00C13EEA" w:rsidP="00970EE2">
            <w:pPr>
              <w:keepNext/>
              <w:adjustRightInd w:val="0"/>
              <w:spacing w:before="40" w:after="40"/>
              <w:jc w:val="center"/>
              <w:rPr>
                <w:rFonts w:ascii="Gill Sans MT" w:hAnsi="Gill Sans MT"/>
                <w:sz w:val="20"/>
                <w:szCs w:val="20"/>
              </w:rPr>
            </w:pPr>
            <w:r>
              <w:rPr>
                <w:rFonts w:ascii="Gill Sans MT" w:hAnsi="Gill Sans MT"/>
                <w:sz w:val="20"/>
                <w:szCs w:val="20"/>
              </w:rPr>
              <w:t>--</w:t>
            </w:r>
          </w:p>
        </w:tc>
        <w:tc>
          <w:tcPr>
            <w:tcW w:w="1800" w:type="dxa"/>
            <w:tcBorders>
              <w:left w:val="nil"/>
              <w:bottom w:val="nil"/>
              <w:right w:val="nil"/>
            </w:tcBorders>
            <w:vAlign w:val="center"/>
          </w:tcPr>
          <w:p w14:paraId="3B96C1FA" w14:textId="77777777" w:rsidR="00C13EEA" w:rsidRPr="0022615B" w:rsidRDefault="00C13EEA" w:rsidP="00970EE2">
            <w:pPr>
              <w:keepNext/>
              <w:adjustRightInd w:val="0"/>
              <w:spacing w:before="40" w:after="40"/>
              <w:jc w:val="center"/>
              <w:rPr>
                <w:rFonts w:ascii="Gill Sans MT" w:hAnsi="Gill Sans MT"/>
                <w:color w:val="000000"/>
                <w:sz w:val="20"/>
                <w:szCs w:val="20"/>
                <w:highlight w:val="yellow"/>
              </w:rPr>
            </w:pPr>
            <w:r>
              <w:rPr>
                <w:rFonts w:ascii="Gill Sans MT" w:hAnsi="Gill Sans MT"/>
                <w:color w:val="000000"/>
                <w:sz w:val="20"/>
                <w:szCs w:val="20"/>
              </w:rPr>
              <w:t>10.04 (2.23</w:t>
            </w:r>
            <w:r w:rsidRPr="00775820">
              <w:rPr>
                <w:rFonts w:ascii="Gill Sans MT" w:hAnsi="Gill Sans MT"/>
                <w:color w:val="000000"/>
                <w:sz w:val="20"/>
                <w:szCs w:val="20"/>
              </w:rPr>
              <w:t>)</w:t>
            </w:r>
          </w:p>
        </w:tc>
        <w:tc>
          <w:tcPr>
            <w:tcW w:w="1360" w:type="dxa"/>
            <w:tcBorders>
              <w:left w:val="nil"/>
              <w:bottom w:val="nil"/>
            </w:tcBorders>
            <w:vAlign w:val="center"/>
          </w:tcPr>
          <w:p w14:paraId="219C6F03" w14:textId="77777777" w:rsidR="00C13EEA" w:rsidRPr="0022615B" w:rsidRDefault="00C13EEA" w:rsidP="00970EE2">
            <w:pPr>
              <w:keepNext/>
              <w:adjustRightInd w:val="0"/>
              <w:spacing w:before="40" w:after="40"/>
              <w:jc w:val="center"/>
              <w:rPr>
                <w:rFonts w:ascii="Gill Sans MT" w:hAnsi="Gill Sans MT"/>
                <w:color w:val="000000"/>
                <w:sz w:val="20"/>
                <w:szCs w:val="20"/>
                <w:highlight w:val="yellow"/>
              </w:rPr>
            </w:pPr>
            <w:r>
              <w:rPr>
                <w:rFonts w:ascii="Gill Sans MT" w:hAnsi="Gill Sans MT"/>
                <w:color w:val="000000"/>
                <w:sz w:val="20"/>
                <w:szCs w:val="20"/>
              </w:rPr>
              <w:t>--</w:t>
            </w:r>
          </w:p>
        </w:tc>
      </w:tr>
      <w:tr w:rsidR="00C13EEA" w:rsidRPr="001F27C4" w14:paraId="2818EB4E" w14:textId="77777777" w:rsidTr="00970EE2">
        <w:trPr>
          <w:trHeight w:val="365"/>
          <w:jc w:val="center"/>
        </w:trPr>
        <w:tc>
          <w:tcPr>
            <w:tcW w:w="2425" w:type="dxa"/>
            <w:tcBorders>
              <w:bottom w:val="nil"/>
              <w:right w:val="nil"/>
            </w:tcBorders>
          </w:tcPr>
          <w:p w14:paraId="191955E6" w14:textId="77777777" w:rsidR="00C13EEA" w:rsidRPr="0022615B" w:rsidRDefault="00C13EEA" w:rsidP="00970EE2">
            <w:pPr>
              <w:spacing w:before="40" w:after="40"/>
              <w:rPr>
                <w:rFonts w:ascii="Gill Sans MT" w:hAnsi="Gill Sans MT"/>
                <w:sz w:val="20"/>
                <w:szCs w:val="20"/>
                <w:highlight w:val="yellow"/>
              </w:rPr>
            </w:pPr>
            <w:r>
              <w:rPr>
                <w:rFonts w:ascii="Gill Sans MT" w:hAnsi="Gill Sans MT"/>
                <w:sz w:val="20"/>
                <w:szCs w:val="20"/>
              </w:rPr>
              <w:t>Passage Comprehension</w:t>
            </w:r>
          </w:p>
        </w:tc>
        <w:tc>
          <w:tcPr>
            <w:tcW w:w="2160" w:type="dxa"/>
            <w:gridSpan w:val="2"/>
            <w:tcBorders>
              <w:left w:val="nil"/>
              <w:bottom w:val="nil"/>
              <w:right w:val="nil"/>
            </w:tcBorders>
            <w:vAlign w:val="center"/>
          </w:tcPr>
          <w:p w14:paraId="7C0107FB" w14:textId="77777777" w:rsidR="00C13EEA" w:rsidRPr="001C1B23" w:rsidRDefault="00C13EEA" w:rsidP="00970EE2">
            <w:pPr>
              <w:keepNext/>
              <w:adjustRightInd w:val="0"/>
              <w:spacing w:before="40" w:after="40"/>
              <w:jc w:val="center"/>
              <w:rPr>
                <w:rFonts w:ascii="Gill Sans MT" w:hAnsi="Gill Sans MT"/>
                <w:color w:val="000000"/>
                <w:sz w:val="20"/>
                <w:szCs w:val="20"/>
              </w:rPr>
            </w:pPr>
            <w:r>
              <w:rPr>
                <w:rFonts w:ascii="Gill Sans MT" w:hAnsi="Gill Sans MT"/>
                <w:color w:val="000000"/>
                <w:sz w:val="20"/>
                <w:szCs w:val="20"/>
              </w:rPr>
              <w:t>13.64</w:t>
            </w:r>
            <w:r w:rsidRPr="00F859F1">
              <w:rPr>
                <w:rFonts w:ascii="Gill Sans MT" w:hAnsi="Gill Sans MT"/>
                <w:color w:val="000000"/>
                <w:sz w:val="20"/>
                <w:szCs w:val="20"/>
              </w:rPr>
              <w:t xml:space="preserve"> (</w:t>
            </w:r>
            <w:r>
              <w:rPr>
                <w:rFonts w:ascii="Gill Sans MT" w:hAnsi="Gill Sans MT"/>
                <w:color w:val="000000"/>
                <w:sz w:val="20"/>
                <w:szCs w:val="20"/>
              </w:rPr>
              <w:t>5.79</w:t>
            </w:r>
            <w:r w:rsidRPr="00F859F1">
              <w:rPr>
                <w:rFonts w:ascii="Gill Sans MT" w:hAnsi="Gill Sans MT"/>
                <w:color w:val="000000"/>
                <w:sz w:val="20"/>
                <w:szCs w:val="20"/>
              </w:rPr>
              <w:t>)</w:t>
            </w:r>
          </w:p>
        </w:tc>
        <w:tc>
          <w:tcPr>
            <w:tcW w:w="1250" w:type="dxa"/>
            <w:tcBorders>
              <w:left w:val="nil"/>
              <w:bottom w:val="nil"/>
              <w:right w:val="nil"/>
            </w:tcBorders>
            <w:vAlign w:val="center"/>
          </w:tcPr>
          <w:p w14:paraId="4E9C2790" w14:textId="77777777" w:rsidR="00C13EEA" w:rsidRPr="001C1B23" w:rsidRDefault="00C13EEA" w:rsidP="00970EE2">
            <w:pPr>
              <w:keepNext/>
              <w:adjustRightInd w:val="0"/>
              <w:spacing w:before="40" w:after="40"/>
              <w:jc w:val="center"/>
              <w:rPr>
                <w:rFonts w:ascii="Gill Sans MT" w:hAnsi="Gill Sans MT"/>
                <w:sz w:val="20"/>
                <w:szCs w:val="20"/>
              </w:rPr>
            </w:pPr>
            <w:r>
              <w:rPr>
                <w:rFonts w:ascii="Gill Sans MT" w:hAnsi="Gill Sans MT"/>
                <w:sz w:val="20"/>
                <w:szCs w:val="20"/>
              </w:rPr>
              <w:t>--</w:t>
            </w:r>
          </w:p>
        </w:tc>
        <w:tc>
          <w:tcPr>
            <w:tcW w:w="1800" w:type="dxa"/>
            <w:tcBorders>
              <w:left w:val="nil"/>
              <w:bottom w:val="nil"/>
              <w:right w:val="nil"/>
            </w:tcBorders>
            <w:vAlign w:val="center"/>
          </w:tcPr>
          <w:p w14:paraId="57A6910F" w14:textId="77777777" w:rsidR="00C13EEA" w:rsidRPr="0022615B" w:rsidRDefault="00C13EEA" w:rsidP="00970EE2">
            <w:pPr>
              <w:keepNext/>
              <w:adjustRightInd w:val="0"/>
              <w:spacing w:before="40" w:after="40"/>
              <w:jc w:val="center"/>
              <w:rPr>
                <w:rFonts w:ascii="Gill Sans MT" w:hAnsi="Gill Sans MT"/>
                <w:color w:val="000000"/>
                <w:sz w:val="20"/>
                <w:szCs w:val="20"/>
                <w:highlight w:val="yellow"/>
              </w:rPr>
            </w:pPr>
            <w:r>
              <w:rPr>
                <w:rFonts w:ascii="Gill Sans MT" w:hAnsi="Gill Sans MT"/>
                <w:color w:val="000000"/>
                <w:sz w:val="20"/>
                <w:szCs w:val="20"/>
              </w:rPr>
              <w:t>12.91</w:t>
            </w:r>
            <w:r w:rsidRPr="00F859F1">
              <w:rPr>
                <w:rFonts w:ascii="Gill Sans MT" w:hAnsi="Gill Sans MT"/>
                <w:color w:val="000000"/>
                <w:sz w:val="20"/>
                <w:szCs w:val="20"/>
              </w:rPr>
              <w:t xml:space="preserve"> (</w:t>
            </w:r>
            <w:r>
              <w:rPr>
                <w:rFonts w:ascii="Gill Sans MT" w:hAnsi="Gill Sans MT"/>
                <w:color w:val="000000"/>
                <w:sz w:val="20"/>
                <w:szCs w:val="20"/>
              </w:rPr>
              <w:t>5.43</w:t>
            </w:r>
            <w:r w:rsidRPr="00F859F1">
              <w:rPr>
                <w:rFonts w:ascii="Gill Sans MT" w:hAnsi="Gill Sans MT"/>
                <w:color w:val="000000"/>
                <w:sz w:val="20"/>
                <w:szCs w:val="20"/>
              </w:rPr>
              <w:t>)</w:t>
            </w:r>
          </w:p>
        </w:tc>
        <w:tc>
          <w:tcPr>
            <w:tcW w:w="1360" w:type="dxa"/>
            <w:tcBorders>
              <w:left w:val="nil"/>
              <w:bottom w:val="nil"/>
            </w:tcBorders>
            <w:vAlign w:val="center"/>
          </w:tcPr>
          <w:p w14:paraId="2C17CCCF" w14:textId="77777777" w:rsidR="00C13EEA" w:rsidRPr="0022615B" w:rsidRDefault="00C13EEA" w:rsidP="00970EE2">
            <w:pPr>
              <w:keepNext/>
              <w:adjustRightInd w:val="0"/>
              <w:spacing w:before="40" w:after="40"/>
              <w:jc w:val="center"/>
              <w:rPr>
                <w:rFonts w:ascii="Gill Sans MT" w:hAnsi="Gill Sans MT"/>
                <w:color w:val="000000"/>
                <w:sz w:val="20"/>
                <w:szCs w:val="20"/>
                <w:highlight w:val="yellow"/>
              </w:rPr>
            </w:pPr>
            <w:r>
              <w:rPr>
                <w:rFonts w:ascii="Gill Sans MT" w:hAnsi="Gill Sans MT"/>
                <w:color w:val="000000"/>
                <w:sz w:val="20"/>
                <w:szCs w:val="20"/>
              </w:rPr>
              <w:t>--</w:t>
            </w:r>
          </w:p>
        </w:tc>
      </w:tr>
      <w:tr w:rsidR="00C13EEA" w:rsidRPr="001F27C4" w14:paraId="4F680BC9" w14:textId="77777777" w:rsidTr="00970EE2">
        <w:trPr>
          <w:trHeight w:val="365"/>
          <w:jc w:val="center"/>
        </w:trPr>
        <w:tc>
          <w:tcPr>
            <w:tcW w:w="2425" w:type="dxa"/>
            <w:tcBorders>
              <w:bottom w:val="nil"/>
              <w:right w:val="nil"/>
            </w:tcBorders>
          </w:tcPr>
          <w:p w14:paraId="5F07DB76" w14:textId="77777777" w:rsidR="00C13EEA" w:rsidRPr="0022615B" w:rsidRDefault="00C13EEA" w:rsidP="00970EE2">
            <w:pPr>
              <w:spacing w:before="40" w:after="40"/>
              <w:rPr>
                <w:rFonts w:ascii="Gill Sans MT" w:hAnsi="Gill Sans MT"/>
                <w:sz w:val="20"/>
                <w:szCs w:val="20"/>
                <w:highlight w:val="yellow"/>
              </w:rPr>
            </w:pPr>
            <w:r>
              <w:rPr>
                <w:rFonts w:ascii="Gill Sans MT" w:hAnsi="Gill Sans MT"/>
                <w:sz w:val="20"/>
                <w:szCs w:val="20"/>
              </w:rPr>
              <w:t>Total</w:t>
            </w:r>
            <w:r w:rsidRPr="00F859F1">
              <w:rPr>
                <w:rFonts w:ascii="Gill Sans MT" w:hAnsi="Gill Sans MT"/>
                <w:sz w:val="20"/>
                <w:szCs w:val="20"/>
              </w:rPr>
              <w:t xml:space="preserve"> Comprehension</w:t>
            </w:r>
          </w:p>
        </w:tc>
        <w:tc>
          <w:tcPr>
            <w:tcW w:w="2160" w:type="dxa"/>
            <w:gridSpan w:val="2"/>
            <w:tcBorders>
              <w:left w:val="nil"/>
              <w:bottom w:val="nil"/>
              <w:right w:val="nil"/>
            </w:tcBorders>
            <w:vAlign w:val="center"/>
          </w:tcPr>
          <w:p w14:paraId="4B7B2CB0" w14:textId="77777777" w:rsidR="00C13EEA" w:rsidRPr="00F859F1" w:rsidRDefault="00C13EEA" w:rsidP="00970EE2">
            <w:pPr>
              <w:keepNext/>
              <w:adjustRightInd w:val="0"/>
              <w:spacing w:before="40" w:after="40"/>
              <w:jc w:val="center"/>
              <w:rPr>
                <w:rFonts w:ascii="Gill Sans MT" w:hAnsi="Gill Sans MT"/>
                <w:color w:val="000000"/>
                <w:sz w:val="20"/>
                <w:szCs w:val="20"/>
              </w:rPr>
            </w:pPr>
            <w:r>
              <w:rPr>
                <w:rFonts w:ascii="Gill Sans MT" w:hAnsi="Gill Sans MT"/>
                <w:color w:val="000000"/>
                <w:sz w:val="20"/>
                <w:szCs w:val="20"/>
              </w:rPr>
              <w:t>22.77</w:t>
            </w:r>
            <w:r w:rsidRPr="00F859F1">
              <w:rPr>
                <w:rFonts w:ascii="Gill Sans MT" w:hAnsi="Gill Sans MT"/>
                <w:color w:val="000000"/>
                <w:sz w:val="20"/>
                <w:szCs w:val="20"/>
              </w:rPr>
              <w:t xml:space="preserve"> (</w:t>
            </w:r>
            <w:r>
              <w:rPr>
                <w:rFonts w:ascii="Gill Sans MT" w:hAnsi="Gill Sans MT"/>
                <w:color w:val="000000"/>
                <w:sz w:val="20"/>
                <w:szCs w:val="20"/>
              </w:rPr>
              <w:t>8.90</w:t>
            </w:r>
            <w:r w:rsidRPr="00F859F1">
              <w:rPr>
                <w:rFonts w:ascii="Gill Sans MT" w:hAnsi="Gill Sans MT"/>
                <w:color w:val="000000"/>
                <w:sz w:val="20"/>
                <w:szCs w:val="20"/>
              </w:rPr>
              <w:t>)</w:t>
            </w:r>
          </w:p>
        </w:tc>
        <w:tc>
          <w:tcPr>
            <w:tcW w:w="1250" w:type="dxa"/>
            <w:tcBorders>
              <w:left w:val="nil"/>
              <w:bottom w:val="nil"/>
              <w:right w:val="nil"/>
            </w:tcBorders>
            <w:vAlign w:val="center"/>
          </w:tcPr>
          <w:p w14:paraId="4F6E2837" w14:textId="77777777" w:rsidR="00C13EEA" w:rsidRPr="001C1B23" w:rsidRDefault="00C13EEA" w:rsidP="00970EE2">
            <w:pPr>
              <w:keepNext/>
              <w:adjustRightInd w:val="0"/>
              <w:spacing w:before="40" w:after="40"/>
              <w:jc w:val="center"/>
              <w:rPr>
                <w:rFonts w:ascii="Gill Sans MT" w:hAnsi="Gill Sans MT"/>
                <w:sz w:val="20"/>
                <w:szCs w:val="20"/>
              </w:rPr>
            </w:pPr>
            <w:r>
              <w:rPr>
                <w:rFonts w:ascii="Gill Sans MT" w:hAnsi="Gill Sans MT"/>
                <w:sz w:val="20"/>
                <w:szCs w:val="20"/>
              </w:rPr>
              <w:t>25</w:t>
            </w:r>
          </w:p>
        </w:tc>
        <w:tc>
          <w:tcPr>
            <w:tcW w:w="1800" w:type="dxa"/>
            <w:tcBorders>
              <w:left w:val="nil"/>
              <w:bottom w:val="nil"/>
              <w:right w:val="nil"/>
            </w:tcBorders>
            <w:vAlign w:val="center"/>
          </w:tcPr>
          <w:p w14:paraId="50099C5F" w14:textId="77777777" w:rsidR="00C13EEA" w:rsidRPr="00F859F1" w:rsidRDefault="00C13EEA" w:rsidP="00970EE2">
            <w:pPr>
              <w:keepNext/>
              <w:adjustRightInd w:val="0"/>
              <w:spacing w:before="40" w:after="40"/>
              <w:jc w:val="center"/>
              <w:rPr>
                <w:rFonts w:ascii="Gill Sans MT" w:hAnsi="Gill Sans MT"/>
                <w:color w:val="000000"/>
                <w:sz w:val="20"/>
                <w:szCs w:val="20"/>
              </w:rPr>
            </w:pPr>
            <w:r>
              <w:rPr>
                <w:rFonts w:ascii="Gill Sans MT" w:hAnsi="Gill Sans MT"/>
                <w:color w:val="000000"/>
                <w:sz w:val="20"/>
                <w:szCs w:val="20"/>
              </w:rPr>
              <w:t>21.69</w:t>
            </w:r>
            <w:r w:rsidRPr="00F859F1">
              <w:rPr>
                <w:rFonts w:ascii="Gill Sans MT" w:hAnsi="Gill Sans MT"/>
                <w:color w:val="000000"/>
                <w:sz w:val="20"/>
                <w:szCs w:val="20"/>
              </w:rPr>
              <w:t xml:space="preserve"> (</w:t>
            </w:r>
            <w:r>
              <w:rPr>
                <w:rFonts w:ascii="Gill Sans MT" w:hAnsi="Gill Sans MT"/>
                <w:color w:val="000000"/>
                <w:sz w:val="20"/>
                <w:szCs w:val="20"/>
              </w:rPr>
              <w:t>8.65</w:t>
            </w:r>
            <w:r w:rsidRPr="00F859F1">
              <w:rPr>
                <w:rFonts w:ascii="Gill Sans MT" w:hAnsi="Gill Sans MT"/>
                <w:color w:val="000000"/>
                <w:sz w:val="20"/>
                <w:szCs w:val="20"/>
              </w:rPr>
              <w:t>)</w:t>
            </w:r>
          </w:p>
        </w:tc>
        <w:tc>
          <w:tcPr>
            <w:tcW w:w="1360" w:type="dxa"/>
            <w:tcBorders>
              <w:left w:val="nil"/>
              <w:bottom w:val="nil"/>
            </w:tcBorders>
            <w:vAlign w:val="center"/>
          </w:tcPr>
          <w:p w14:paraId="1BC0D2EA" w14:textId="77777777" w:rsidR="00C13EEA" w:rsidRPr="00F859F1" w:rsidRDefault="00C13EEA" w:rsidP="00970EE2">
            <w:pPr>
              <w:keepNext/>
              <w:adjustRightInd w:val="0"/>
              <w:spacing w:before="40" w:after="40"/>
              <w:jc w:val="center"/>
              <w:rPr>
                <w:rFonts w:ascii="Gill Sans MT" w:hAnsi="Gill Sans MT"/>
                <w:color w:val="000000"/>
                <w:sz w:val="20"/>
                <w:szCs w:val="20"/>
              </w:rPr>
            </w:pPr>
            <w:r>
              <w:rPr>
                <w:rFonts w:ascii="Gill Sans MT" w:hAnsi="Gill Sans MT"/>
                <w:color w:val="000000"/>
                <w:sz w:val="20"/>
                <w:szCs w:val="20"/>
              </w:rPr>
              <w:t>23</w:t>
            </w:r>
          </w:p>
        </w:tc>
      </w:tr>
      <w:tr w:rsidR="00C13EEA" w:rsidRPr="001F27C4" w14:paraId="00450CAB" w14:textId="77777777" w:rsidTr="00970EE2">
        <w:trPr>
          <w:trHeight w:val="365"/>
          <w:jc w:val="center"/>
        </w:trPr>
        <w:tc>
          <w:tcPr>
            <w:tcW w:w="2425" w:type="dxa"/>
            <w:tcBorders>
              <w:bottom w:val="nil"/>
              <w:right w:val="nil"/>
            </w:tcBorders>
          </w:tcPr>
          <w:p w14:paraId="6599015F" w14:textId="77777777" w:rsidR="00C13EEA" w:rsidRDefault="00C13EEA" w:rsidP="00970EE2">
            <w:pPr>
              <w:spacing w:before="40" w:after="40"/>
              <w:rPr>
                <w:rFonts w:ascii="Gill Sans MT" w:hAnsi="Gill Sans MT"/>
                <w:sz w:val="20"/>
                <w:szCs w:val="20"/>
              </w:rPr>
            </w:pPr>
            <w:r>
              <w:rPr>
                <w:rFonts w:ascii="Gill Sans MT" w:hAnsi="Gill Sans MT"/>
                <w:sz w:val="20"/>
                <w:szCs w:val="20"/>
              </w:rPr>
              <w:t>Academic Attitude</w:t>
            </w:r>
          </w:p>
        </w:tc>
        <w:tc>
          <w:tcPr>
            <w:tcW w:w="2160" w:type="dxa"/>
            <w:gridSpan w:val="2"/>
            <w:tcBorders>
              <w:left w:val="nil"/>
              <w:bottom w:val="nil"/>
              <w:right w:val="nil"/>
            </w:tcBorders>
            <w:vAlign w:val="center"/>
          </w:tcPr>
          <w:p w14:paraId="39D6942C" w14:textId="77777777" w:rsidR="00C13EEA" w:rsidRPr="00745334" w:rsidRDefault="00C13EEA" w:rsidP="00970EE2">
            <w:pPr>
              <w:keepNext/>
              <w:adjustRightInd w:val="0"/>
              <w:spacing w:before="40" w:after="40"/>
              <w:jc w:val="center"/>
              <w:rPr>
                <w:rFonts w:ascii="Gill Sans MT" w:hAnsi="Gill Sans MT"/>
                <w:color w:val="000000"/>
                <w:sz w:val="20"/>
                <w:szCs w:val="20"/>
              </w:rPr>
            </w:pPr>
            <w:r>
              <w:rPr>
                <w:rFonts w:ascii="Gill Sans MT" w:hAnsi="Gill Sans MT"/>
                <w:color w:val="000000"/>
                <w:sz w:val="20"/>
                <w:szCs w:val="20"/>
              </w:rPr>
              <w:t>1.58 (5.98</w:t>
            </w:r>
            <w:r w:rsidRPr="00745334">
              <w:rPr>
                <w:rFonts w:ascii="Gill Sans MT" w:hAnsi="Gill Sans MT"/>
                <w:color w:val="000000"/>
                <w:sz w:val="20"/>
                <w:szCs w:val="20"/>
              </w:rPr>
              <w:t>)</w:t>
            </w:r>
          </w:p>
        </w:tc>
        <w:tc>
          <w:tcPr>
            <w:tcW w:w="1250" w:type="dxa"/>
            <w:tcBorders>
              <w:left w:val="nil"/>
              <w:bottom w:val="nil"/>
              <w:right w:val="nil"/>
            </w:tcBorders>
            <w:vAlign w:val="center"/>
          </w:tcPr>
          <w:p w14:paraId="77FF1CB8" w14:textId="77777777" w:rsidR="00C13EEA" w:rsidRPr="001C1B23" w:rsidRDefault="00C13EEA" w:rsidP="00970EE2">
            <w:pPr>
              <w:keepNext/>
              <w:adjustRightInd w:val="0"/>
              <w:spacing w:before="40" w:after="40"/>
              <w:jc w:val="center"/>
              <w:rPr>
                <w:rFonts w:ascii="Gill Sans MT" w:hAnsi="Gill Sans MT"/>
                <w:sz w:val="20"/>
                <w:szCs w:val="20"/>
              </w:rPr>
            </w:pPr>
            <w:r>
              <w:rPr>
                <w:rFonts w:ascii="Gill Sans MT" w:hAnsi="Gill Sans MT"/>
                <w:sz w:val="20"/>
                <w:szCs w:val="20"/>
              </w:rPr>
              <w:t>--</w:t>
            </w:r>
          </w:p>
        </w:tc>
        <w:tc>
          <w:tcPr>
            <w:tcW w:w="1800" w:type="dxa"/>
            <w:tcBorders>
              <w:left w:val="nil"/>
              <w:bottom w:val="nil"/>
              <w:right w:val="nil"/>
            </w:tcBorders>
            <w:vAlign w:val="center"/>
          </w:tcPr>
          <w:p w14:paraId="10FDBCA7" w14:textId="77777777" w:rsidR="00C13EEA" w:rsidRPr="00745334" w:rsidRDefault="00C13EEA" w:rsidP="00970EE2">
            <w:pPr>
              <w:keepNext/>
              <w:adjustRightInd w:val="0"/>
              <w:spacing w:before="40" w:after="40"/>
              <w:jc w:val="center"/>
              <w:rPr>
                <w:rFonts w:ascii="Gill Sans MT" w:hAnsi="Gill Sans MT"/>
                <w:color w:val="000000"/>
                <w:sz w:val="20"/>
                <w:szCs w:val="20"/>
              </w:rPr>
            </w:pPr>
            <w:r>
              <w:rPr>
                <w:rFonts w:ascii="Gill Sans MT" w:hAnsi="Gill Sans MT"/>
                <w:color w:val="000000"/>
                <w:sz w:val="20"/>
                <w:szCs w:val="20"/>
              </w:rPr>
              <w:t>2.56 (5.78</w:t>
            </w:r>
            <w:r w:rsidRPr="00745334">
              <w:rPr>
                <w:rFonts w:ascii="Gill Sans MT" w:hAnsi="Gill Sans MT"/>
                <w:color w:val="000000"/>
                <w:sz w:val="20"/>
                <w:szCs w:val="20"/>
              </w:rPr>
              <w:t>)</w:t>
            </w:r>
          </w:p>
        </w:tc>
        <w:tc>
          <w:tcPr>
            <w:tcW w:w="1360" w:type="dxa"/>
            <w:tcBorders>
              <w:left w:val="nil"/>
              <w:bottom w:val="nil"/>
            </w:tcBorders>
            <w:vAlign w:val="center"/>
          </w:tcPr>
          <w:p w14:paraId="713B053E" w14:textId="77777777" w:rsidR="00C13EEA" w:rsidRPr="00745334" w:rsidRDefault="00C13EEA" w:rsidP="00970EE2">
            <w:pPr>
              <w:keepNext/>
              <w:adjustRightInd w:val="0"/>
              <w:spacing w:before="40" w:after="40"/>
              <w:jc w:val="center"/>
              <w:rPr>
                <w:rFonts w:ascii="Gill Sans MT" w:hAnsi="Gill Sans MT"/>
                <w:color w:val="000000"/>
                <w:sz w:val="20"/>
                <w:szCs w:val="20"/>
              </w:rPr>
            </w:pPr>
            <w:r>
              <w:rPr>
                <w:rFonts w:ascii="Gill Sans MT" w:hAnsi="Gill Sans MT"/>
                <w:color w:val="000000"/>
                <w:sz w:val="20"/>
                <w:szCs w:val="20"/>
              </w:rPr>
              <w:t>--</w:t>
            </w:r>
          </w:p>
        </w:tc>
      </w:tr>
      <w:tr w:rsidR="00C13EEA" w:rsidRPr="00A6118E" w14:paraId="4E123FA2" w14:textId="77777777" w:rsidTr="00970EE2">
        <w:trPr>
          <w:trHeight w:val="70"/>
          <w:jc w:val="center"/>
        </w:trPr>
        <w:tc>
          <w:tcPr>
            <w:tcW w:w="8995" w:type="dxa"/>
            <w:gridSpan w:val="6"/>
            <w:shd w:val="clear" w:color="auto" w:fill="BFBFBF"/>
          </w:tcPr>
          <w:p w14:paraId="7403BA62" w14:textId="77777777" w:rsidR="00C13EEA" w:rsidRPr="006657CF" w:rsidRDefault="00C13EEA" w:rsidP="00970EE2">
            <w:pPr>
              <w:rPr>
                <w:rFonts w:ascii="Gill Sans MT" w:hAnsi="Gill Sans MT"/>
                <w:sz w:val="8"/>
                <w:szCs w:val="8"/>
                <w:highlight w:val="yellow"/>
              </w:rPr>
            </w:pPr>
          </w:p>
        </w:tc>
      </w:tr>
    </w:tbl>
    <w:p w14:paraId="2D1FFFA5" w14:textId="77777777" w:rsidR="00C13EEA" w:rsidRPr="00C13EEA" w:rsidRDefault="00C13EEA" w:rsidP="00C13EEA"/>
    <w:p w14:paraId="3F9F35F5" w14:textId="77777777" w:rsidR="00C13EEA" w:rsidRPr="00C13EEA" w:rsidRDefault="00C13EEA" w:rsidP="003D7BFE"/>
    <w:p w14:paraId="59E5C9C0" w14:textId="77777777" w:rsidR="00DE45BB" w:rsidRPr="00C13EEA" w:rsidRDefault="00C13EEA" w:rsidP="00DE45BB">
      <w:pPr>
        <w:jc w:val="both"/>
        <w:rPr>
          <w:b/>
          <w:i/>
          <w:color w:val="000080"/>
          <w:sz w:val="28"/>
          <w:szCs w:val="28"/>
        </w:rPr>
      </w:pPr>
      <w:r w:rsidRPr="00C13EEA">
        <w:rPr>
          <w:b/>
          <w:i/>
          <w:color w:val="000080"/>
          <w:sz w:val="28"/>
          <w:szCs w:val="28"/>
        </w:rPr>
        <w:t>Both t</w:t>
      </w:r>
      <w:r w:rsidR="00DE45BB" w:rsidRPr="00C13EEA">
        <w:rPr>
          <w:b/>
          <w:i/>
          <w:color w:val="000080"/>
          <w:sz w:val="28"/>
          <w:szCs w:val="28"/>
        </w:rPr>
        <w:t>he compariso</w:t>
      </w:r>
      <w:r w:rsidRPr="00C13EEA">
        <w:rPr>
          <w:b/>
          <w:i/>
          <w:color w:val="000080"/>
          <w:sz w:val="28"/>
          <w:szCs w:val="28"/>
        </w:rPr>
        <w:t xml:space="preserve">n and iLit </w:t>
      </w:r>
      <w:r w:rsidR="00DE45BB" w:rsidRPr="00C13EEA">
        <w:rPr>
          <w:b/>
          <w:i/>
          <w:color w:val="000080"/>
          <w:sz w:val="28"/>
          <w:szCs w:val="28"/>
        </w:rPr>
        <w:t xml:space="preserve">groups achieved </w:t>
      </w:r>
      <w:r w:rsidR="00980F2A">
        <w:rPr>
          <w:b/>
          <w:i/>
          <w:color w:val="000080"/>
          <w:sz w:val="28"/>
          <w:szCs w:val="28"/>
        </w:rPr>
        <w:t xml:space="preserve">at equally </w:t>
      </w:r>
      <w:r w:rsidR="00DE45BB" w:rsidRPr="00C13EEA">
        <w:rPr>
          <w:b/>
          <w:i/>
          <w:color w:val="000080"/>
          <w:sz w:val="28"/>
          <w:szCs w:val="28"/>
        </w:rPr>
        <w:t>well below average</w:t>
      </w:r>
      <w:r w:rsidR="00587623" w:rsidRPr="00C13EEA">
        <w:rPr>
          <w:b/>
          <w:i/>
          <w:color w:val="000080"/>
          <w:sz w:val="28"/>
          <w:szCs w:val="28"/>
        </w:rPr>
        <w:t xml:space="preserve"> at baseline.</w:t>
      </w:r>
    </w:p>
    <w:p w14:paraId="5F79AB1B" w14:textId="77777777" w:rsidR="006B0315" w:rsidRPr="00C13EEA" w:rsidRDefault="006B0315" w:rsidP="00B506CE">
      <w:pPr>
        <w:jc w:val="both"/>
      </w:pPr>
    </w:p>
    <w:p w14:paraId="59A61B46" w14:textId="465B7E09" w:rsidR="00DE45BB" w:rsidRDefault="00DE45BB" w:rsidP="003D7BFE">
      <w:pPr>
        <w:jc w:val="both"/>
      </w:pPr>
      <w:r w:rsidRPr="00974E3E">
        <w:t xml:space="preserve">Table </w:t>
      </w:r>
      <w:r w:rsidR="00CA3571" w:rsidRPr="00974E3E">
        <w:t>5</w:t>
      </w:r>
      <w:r w:rsidRPr="00974E3E">
        <w:t xml:space="preserve"> presents the simple sample 2013 baseline iLit and comparison group means for each measur</w:t>
      </w:r>
      <w:r w:rsidR="008C0733" w:rsidRPr="00974E3E">
        <w:t>e of achievement</w:t>
      </w:r>
      <w:r w:rsidRPr="00974E3E">
        <w:t xml:space="preserve"> and</w:t>
      </w:r>
      <w:r w:rsidRPr="00974E3E">
        <w:rPr>
          <w:color w:val="000000"/>
        </w:rPr>
        <w:t xml:space="preserve"> literacy academic attitude.  </w:t>
      </w:r>
      <w:r w:rsidRPr="00974E3E">
        <w:t xml:space="preserve">Table </w:t>
      </w:r>
      <w:r w:rsidR="00CA3571" w:rsidRPr="00974E3E">
        <w:t>6</w:t>
      </w:r>
      <w:r w:rsidRPr="00974E3E">
        <w:t xml:space="preserve"> presents the baseline group mean differences for each outcome measure</w:t>
      </w:r>
      <w:r w:rsidRPr="00974E3E">
        <w:rPr>
          <w:color w:val="000000"/>
        </w:rPr>
        <w:t xml:space="preserve">, as well as, the </w:t>
      </w:r>
      <w:r w:rsidR="008C0733" w:rsidRPr="00974E3E">
        <w:rPr>
          <w:color w:val="000000"/>
        </w:rPr>
        <w:t xml:space="preserve">two-sided </w:t>
      </w:r>
      <w:r w:rsidRPr="00974E3E">
        <w:rPr>
          <w:color w:val="000000"/>
        </w:rPr>
        <w:t>statistical significance test results</w:t>
      </w:r>
      <w:r w:rsidRPr="008C0733">
        <w:rPr>
          <w:color w:val="000000"/>
        </w:rPr>
        <w:t xml:space="preserve"> and effect size measures for these differences.  </w:t>
      </w:r>
      <w:r w:rsidR="00B506CE" w:rsidRPr="008C0733">
        <w:rPr>
          <w:color w:val="000000"/>
        </w:rPr>
        <w:t xml:space="preserve"> </w:t>
      </w:r>
      <w:r w:rsidR="00B506CE" w:rsidRPr="008C0733">
        <w:t>The difference for all achievement outcome measures was not statistically significant and effect sizes were relat</w:t>
      </w:r>
      <w:r w:rsidR="008C0733">
        <w:t>ively small ranging from -3 to 5</w:t>
      </w:r>
      <w:r w:rsidR="00B506CE" w:rsidRPr="008C0733">
        <w:t xml:space="preserve"> percentile points.  Group mean difference</w:t>
      </w:r>
      <w:r w:rsidR="008C0733">
        <w:t>s were</w:t>
      </w:r>
      <w:r w:rsidR="00B506CE" w:rsidRPr="008C0733">
        <w:t xml:space="preserve"> less than one</w:t>
      </w:r>
      <w:r w:rsidR="008C0733">
        <w:t xml:space="preserve"> percent correct (i.e., number question answered correctly / number question) for GRADE Total and Vocabulary score and 2% for Comprehension score</w:t>
      </w:r>
      <w:r w:rsidR="00B506CE" w:rsidRPr="008C0733">
        <w:t xml:space="preserve">.  </w:t>
      </w:r>
    </w:p>
    <w:p w14:paraId="54713EEB" w14:textId="77777777" w:rsidR="00D5404D" w:rsidRDefault="00D5404D" w:rsidP="003D7BFE">
      <w:pPr>
        <w:jc w:val="both"/>
      </w:pPr>
    </w:p>
    <w:p w14:paraId="4AE5A014" w14:textId="77777777" w:rsidR="00D5404D" w:rsidRPr="008C0733" w:rsidRDefault="00D5404D" w:rsidP="00D5404D">
      <w:pPr>
        <w:jc w:val="both"/>
      </w:pPr>
    </w:p>
    <w:p w14:paraId="663AF5A8" w14:textId="77777777" w:rsidR="00D5404D" w:rsidRPr="00D5404D" w:rsidRDefault="00D5404D" w:rsidP="00D5404D">
      <w:pPr>
        <w:jc w:val="both"/>
      </w:pPr>
      <w:r w:rsidRPr="00D5404D">
        <w:lastRenderedPageBreak/>
        <w:t>Lastly, both the iLit and the comparison group were overall positive in their baseline literacy attitudes.  The iLit group had slightly lower academic attitudes, less than one point on a 40 point scale.  This difference was not statistically significant.</w:t>
      </w:r>
    </w:p>
    <w:p w14:paraId="7EEF186D" w14:textId="77777777" w:rsidR="00D5404D" w:rsidRPr="00D5404D" w:rsidRDefault="00D5404D" w:rsidP="00D5404D"/>
    <w:p w14:paraId="35890B1A" w14:textId="77777777" w:rsidR="00D5404D" w:rsidRDefault="00D5404D" w:rsidP="00D5404D">
      <w:pPr>
        <w:rPr>
          <w:b/>
          <w:i/>
          <w:color w:val="000081"/>
          <w:sz w:val="28"/>
          <w:szCs w:val="28"/>
        </w:rPr>
      </w:pPr>
      <w:r w:rsidRPr="00D5404D">
        <w:rPr>
          <w:b/>
          <w:i/>
          <w:color w:val="000081"/>
          <w:sz w:val="28"/>
          <w:szCs w:val="28"/>
        </w:rPr>
        <w:t xml:space="preserve">The iLit and comparison groups were overall positive and statistically equivalent in their Literacy academic attitudes. </w:t>
      </w:r>
    </w:p>
    <w:p w14:paraId="657BC7E0" w14:textId="77777777" w:rsidR="00D5404D" w:rsidRPr="002B482F" w:rsidRDefault="00D5404D" w:rsidP="00D5404D">
      <w:pPr>
        <w:rPr>
          <w:color w:val="000081"/>
        </w:rPr>
      </w:pPr>
    </w:p>
    <w:p w14:paraId="58AFB7A3" w14:textId="77777777" w:rsidR="00D5404D" w:rsidRDefault="00D5404D" w:rsidP="00D5404D">
      <w:pPr>
        <w:rPr>
          <w:highlight w:val="yellow"/>
        </w:rPr>
      </w:pPr>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22"/>
        <w:gridCol w:w="2070"/>
        <w:gridCol w:w="1620"/>
        <w:gridCol w:w="1440"/>
      </w:tblGrid>
      <w:tr w:rsidR="00D5404D" w:rsidRPr="00A63986" w14:paraId="59F5B687" w14:textId="77777777" w:rsidTr="00970EE2">
        <w:trPr>
          <w:trHeight w:val="541"/>
          <w:jc w:val="center"/>
        </w:trPr>
        <w:tc>
          <w:tcPr>
            <w:tcW w:w="2493" w:type="dxa"/>
            <w:shd w:val="clear" w:color="auto" w:fill="0000FF"/>
          </w:tcPr>
          <w:p w14:paraId="6824CB31" w14:textId="284FAD49" w:rsidR="00D5404D" w:rsidRPr="00CA3571" w:rsidRDefault="00D5404D" w:rsidP="00974E3E">
            <w:pPr>
              <w:spacing w:before="60" w:after="60"/>
              <w:rPr>
                <w:rFonts w:ascii="Gill Sans MT" w:hAnsi="Gill Sans MT"/>
                <w:color w:val="FFFF00"/>
              </w:rPr>
            </w:pPr>
            <w:r w:rsidRPr="00CA3571">
              <w:rPr>
                <w:rFonts w:ascii="Gill Sans MT" w:hAnsi="Gill Sans MT"/>
                <w:color w:val="FFFF00"/>
              </w:rPr>
              <w:t xml:space="preserve">Table </w:t>
            </w:r>
            <w:r w:rsidR="00CA3571" w:rsidRPr="00CA3571">
              <w:rPr>
                <w:rFonts w:ascii="Gill Sans MT" w:hAnsi="Gill Sans MT"/>
                <w:color w:val="FFFF00"/>
              </w:rPr>
              <w:t>6</w:t>
            </w:r>
          </w:p>
        </w:tc>
        <w:tc>
          <w:tcPr>
            <w:tcW w:w="5152" w:type="dxa"/>
            <w:gridSpan w:val="4"/>
            <w:shd w:val="clear" w:color="auto" w:fill="0000FF"/>
          </w:tcPr>
          <w:p w14:paraId="669414FA" w14:textId="77777777" w:rsidR="00D5404D" w:rsidRPr="00686E00" w:rsidRDefault="00D5404D" w:rsidP="00974E3E">
            <w:pPr>
              <w:spacing w:before="60" w:after="60"/>
              <w:jc w:val="center"/>
              <w:rPr>
                <w:rFonts w:ascii="Gill Sans MT" w:hAnsi="Gill Sans MT"/>
                <w:color w:val="FFFF00"/>
              </w:rPr>
            </w:pPr>
            <w:r>
              <w:rPr>
                <w:rFonts w:ascii="Gill Sans MT" w:hAnsi="Gill Sans MT"/>
                <w:color w:val="FFFF00"/>
              </w:rPr>
              <w:t xml:space="preserve">2013 </w:t>
            </w:r>
            <w:r w:rsidRPr="00686E00">
              <w:rPr>
                <w:rFonts w:ascii="Gill Sans MT" w:hAnsi="Gill Sans MT"/>
                <w:color w:val="FFFF00"/>
              </w:rPr>
              <w:t xml:space="preserve">Baseline Study Group Score Comparisons </w:t>
            </w:r>
          </w:p>
        </w:tc>
      </w:tr>
      <w:tr w:rsidR="00D5404D" w:rsidRPr="00662A62" w14:paraId="474ED32C" w14:textId="77777777" w:rsidTr="00970EE2">
        <w:trPr>
          <w:jc w:val="center"/>
        </w:trPr>
        <w:tc>
          <w:tcPr>
            <w:tcW w:w="2515" w:type="dxa"/>
            <w:gridSpan w:val="2"/>
            <w:tcBorders>
              <w:right w:val="nil"/>
            </w:tcBorders>
            <w:shd w:val="clear" w:color="auto" w:fill="CCCCCC"/>
          </w:tcPr>
          <w:p w14:paraId="42682E9C" w14:textId="77777777" w:rsidR="00D5404D" w:rsidRPr="00B55016" w:rsidRDefault="00D5404D" w:rsidP="00974E3E">
            <w:pPr>
              <w:spacing w:before="60" w:after="60"/>
              <w:jc w:val="center"/>
              <w:rPr>
                <w:rFonts w:ascii="Gill Sans MT" w:hAnsi="Gill Sans MT"/>
                <w:sz w:val="20"/>
                <w:szCs w:val="20"/>
              </w:rPr>
            </w:pPr>
            <w:r w:rsidRPr="00B55016">
              <w:rPr>
                <w:rFonts w:ascii="Gill Sans MT" w:hAnsi="Gill Sans MT"/>
                <w:sz w:val="20"/>
                <w:szCs w:val="20"/>
              </w:rPr>
              <w:t>Measure</w:t>
            </w:r>
          </w:p>
        </w:tc>
        <w:tc>
          <w:tcPr>
            <w:tcW w:w="2070" w:type="dxa"/>
            <w:tcBorders>
              <w:left w:val="nil"/>
              <w:right w:val="nil"/>
            </w:tcBorders>
            <w:shd w:val="clear" w:color="auto" w:fill="CCCCCC"/>
          </w:tcPr>
          <w:p w14:paraId="31D10125" w14:textId="77777777" w:rsidR="00D5404D" w:rsidRPr="004E6B0E" w:rsidRDefault="00D5404D" w:rsidP="00974E3E">
            <w:pPr>
              <w:spacing w:before="60" w:after="60"/>
              <w:jc w:val="center"/>
              <w:rPr>
                <w:rFonts w:ascii="Gill Sans MT" w:hAnsi="Gill Sans MT"/>
                <w:sz w:val="20"/>
                <w:szCs w:val="20"/>
              </w:rPr>
            </w:pPr>
            <w:r w:rsidRPr="004E6B0E">
              <w:rPr>
                <w:rFonts w:ascii="Gill Sans MT" w:hAnsi="Gill Sans MT"/>
                <w:sz w:val="20"/>
                <w:szCs w:val="20"/>
              </w:rPr>
              <w:t>Sample Differenc</w:t>
            </w:r>
            <w:r>
              <w:rPr>
                <w:rFonts w:ascii="Gill Sans MT" w:hAnsi="Gill Sans MT"/>
                <w:sz w:val="20"/>
                <w:szCs w:val="20"/>
              </w:rPr>
              <w:t>e(Qs)</w:t>
            </w:r>
          </w:p>
        </w:tc>
        <w:tc>
          <w:tcPr>
            <w:tcW w:w="1620" w:type="dxa"/>
            <w:tcBorders>
              <w:left w:val="nil"/>
              <w:right w:val="nil"/>
            </w:tcBorders>
            <w:shd w:val="clear" w:color="auto" w:fill="CCCCCC"/>
          </w:tcPr>
          <w:p w14:paraId="3A25C68D" w14:textId="77777777" w:rsidR="00D5404D" w:rsidRPr="004E6B0E" w:rsidRDefault="00D5404D" w:rsidP="00974E3E">
            <w:pPr>
              <w:spacing w:before="60" w:after="60"/>
              <w:jc w:val="center"/>
              <w:rPr>
                <w:rFonts w:ascii="Gill Sans MT" w:hAnsi="Gill Sans MT"/>
                <w:sz w:val="20"/>
                <w:szCs w:val="20"/>
              </w:rPr>
            </w:pPr>
            <w:r w:rsidRPr="004E6B0E">
              <w:rPr>
                <w:rFonts w:ascii="Gill Sans MT" w:hAnsi="Gill Sans MT"/>
                <w:sz w:val="20"/>
                <w:szCs w:val="20"/>
              </w:rPr>
              <w:t>p-value</w:t>
            </w:r>
          </w:p>
        </w:tc>
        <w:tc>
          <w:tcPr>
            <w:tcW w:w="1440" w:type="dxa"/>
            <w:tcBorders>
              <w:left w:val="nil"/>
            </w:tcBorders>
            <w:shd w:val="clear" w:color="auto" w:fill="CCCCCC"/>
          </w:tcPr>
          <w:p w14:paraId="563EEE75" w14:textId="77777777" w:rsidR="00D5404D" w:rsidRPr="004E6B0E" w:rsidRDefault="00D5404D" w:rsidP="00974E3E">
            <w:pPr>
              <w:spacing w:before="60" w:after="60"/>
              <w:jc w:val="center"/>
              <w:rPr>
                <w:rFonts w:ascii="Gill Sans MT" w:hAnsi="Gill Sans MT"/>
                <w:sz w:val="20"/>
                <w:szCs w:val="20"/>
                <w:highlight w:val="yellow"/>
              </w:rPr>
            </w:pPr>
            <w:r>
              <w:rPr>
                <w:rFonts w:ascii="Gill Sans MT" w:hAnsi="Gill Sans MT"/>
                <w:sz w:val="20"/>
                <w:szCs w:val="20"/>
              </w:rPr>
              <w:t>E</w:t>
            </w:r>
            <w:r w:rsidRPr="004E6B0E">
              <w:rPr>
                <w:rFonts w:ascii="Gill Sans MT" w:hAnsi="Gill Sans MT"/>
                <w:sz w:val="20"/>
                <w:szCs w:val="20"/>
              </w:rPr>
              <w:t>ffect Size</w:t>
            </w:r>
            <w:r>
              <w:rPr>
                <w:rFonts w:ascii="Gill Sans MT" w:hAnsi="Gill Sans MT"/>
                <w:sz w:val="20"/>
                <w:szCs w:val="20"/>
                <w:vertAlign w:val="superscript"/>
              </w:rPr>
              <w:t>1</w:t>
            </w:r>
          </w:p>
        </w:tc>
      </w:tr>
      <w:tr w:rsidR="00D5404D" w:rsidRPr="002415A5" w14:paraId="287DB5CD" w14:textId="77777777" w:rsidTr="00970EE2">
        <w:trPr>
          <w:trHeight w:val="302"/>
          <w:jc w:val="center"/>
        </w:trPr>
        <w:tc>
          <w:tcPr>
            <w:tcW w:w="2515" w:type="dxa"/>
            <w:gridSpan w:val="2"/>
            <w:tcBorders>
              <w:bottom w:val="nil"/>
              <w:right w:val="nil"/>
            </w:tcBorders>
          </w:tcPr>
          <w:p w14:paraId="36082291" w14:textId="77777777" w:rsidR="00D5404D" w:rsidRPr="00363635" w:rsidRDefault="00D5404D" w:rsidP="00970EE2">
            <w:pPr>
              <w:spacing w:before="35" w:after="35"/>
              <w:rPr>
                <w:rFonts w:ascii="Gill Sans MT" w:hAnsi="Gill Sans MT" w:cs="Arial"/>
                <w:sz w:val="20"/>
                <w:szCs w:val="20"/>
              </w:rPr>
            </w:pPr>
            <w:r w:rsidRPr="00363635">
              <w:rPr>
                <w:rFonts w:ascii="Gill Sans MT" w:hAnsi="Gill Sans MT"/>
                <w:sz w:val="20"/>
                <w:szCs w:val="20"/>
              </w:rPr>
              <w:t>GRADE Total</w:t>
            </w:r>
          </w:p>
        </w:tc>
        <w:tc>
          <w:tcPr>
            <w:tcW w:w="2070" w:type="dxa"/>
            <w:tcBorders>
              <w:left w:val="nil"/>
              <w:bottom w:val="nil"/>
              <w:right w:val="nil"/>
            </w:tcBorders>
            <w:vAlign w:val="bottom"/>
          </w:tcPr>
          <w:p w14:paraId="7122D782" w14:textId="77777777" w:rsidR="00D5404D" w:rsidRPr="00363635" w:rsidRDefault="00D5404D" w:rsidP="00970EE2">
            <w:pPr>
              <w:spacing w:before="35" w:after="35"/>
              <w:jc w:val="center"/>
              <w:rPr>
                <w:rFonts w:ascii="Gill Sans MT" w:hAnsi="Gill Sans MT" w:cs="Calibri"/>
                <w:color w:val="000000"/>
                <w:sz w:val="20"/>
              </w:rPr>
            </w:pPr>
            <w:r>
              <w:rPr>
                <w:rFonts w:ascii="Gill Sans MT" w:hAnsi="Gill Sans MT" w:cs="Calibri"/>
                <w:color w:val="000000"/>
                <w:sz w:val="20"/>
                <w:szCs w:val="22"/>
              </w:rPr>
              <w:t>0.74 (89)</w:t>
            </w:r>
          </w:p>
        </w:tc>
        <w:tc>
          <w:tcPr>
            <w:tcW w:w="1620" w:type="dxa"/>
            <w:tcBorders>
              <w:left w:val="nil"/>
              <w:bottom w:val="nil"/>
              <w:right w:val="nil"/>
            </w:tcBorders>
          </w:tcPr>
          <w:p w14:paraId="60B29754" w14:textId="77777777" w:rsidR="00D5404D" w:rsidRPr="00363635" w:rsidRDefault="00D5404D" w:rsidP="00970EE2">
            <w:pPr>
              <w:keepNext/>
              <w:adjustRightInd w:val="0"/>
              <w:spacing w:before="35" w:after="35"/>
              <w:jc w:val="center"/>
              <w:rPr>
                <w:rFonts w:ascii="Gill Sans MT" w:hAnsi="Gill Sans MT"/>
                <w:color w:val="000000"/>
                <w:sz w:val="20"/>
                <w:szCs w:val="20"/>
              </w:rPr>
            </w:pPr>
            <w:r>
              <w:rPr>
                <w:rFonts w:ascii="Gill Sans MT" w:hAnsi="Gill Sans MT"/>
                <w:color w:val="000000"/>
                <w:sz w:val="20"/>
                <w:szCs w:val="20"/>
              </w:rPr>
              <w:t>0.441</w:t>
            </w:r>
          </w:p>
        </w:tc>
        <w:tc>
          <w:tcPr>
            <w:tcW w:w="1440" w:type="dxa"/>
            <w:tcBorders>
              <w:left w:val="nil"/>
              <w:bottom w:val="nil"/>
            </w:tcBorders>
          </w:tcPr>
          <w:p w14:paraId="3E644A28" w14:textId="77777777" w:rsidR="00D5404D" w:rsidRPr="004E6B0E" w:rsidRDefault="00D5404D" w:rsidP="00970EE2">
            <w:pPr>
              <w:spacing w:before="35" w:after="35"/>
              <w:jc w:val="center"/>
              <w:rPr>
                <w:rFonts w:ascii="Gill Sans MT" w:hAnsi="Gill Sans MT" w:cs="Arial"/>
                <w:sz w:val="20"/>
                <w:szCs w:val="20"/>
                <w:highlight w:val="yellow"/>
              </w:rPr>
            </w:pPr>
            <w:r>
              <w:rPr>
                <w:rFonts w:ascii="Gill Sans MT" w:hAnsi="Gill Sans MT" w:cs="Arial"/>
                <w:sz w:val="20"/>
                <w:szCs w:val="20"/>
              </w:rPr>
              <w:t>0.06</w:t>
            </w:r>
            <w:r w:rsidRPr="00363635">
              <w:rPr>
                <w:rFonts w:ascii="Gill Sans MT" w:hAnsi="Gill Sans MT" w:cs="Arial"/>
                <w:sz w:val="20"/>
                <w:szCs w:val="20"/>
              </w:rPr>
              <w:t xml:space="preserve"> (</w:t>
            </w:r>
            <w:r>
              <w:rPr>
                <w:rFonts w:ascii="Gill Sans MT" w:hAnsi="Gill Sans MT" w:cs="Arial"/>
                <w:sz w:val="20"/>
                <w:szCs w:val="20"/>
              </w:rPr>
              <w:t>2%</w:t>
            </w:r>
            <w:r w:rsidRPr="00363635">
              <w:rPr>
                <w:rFonts w:ascii="Gill Sans MT" w:hAnsi="Gill Sans MT" w:cs="Arial"/>
                <w:sz w:val="20"/>
                <w:szCs w:val="20"/>
              </w:rPr>
              <w:t>)</w:t>
            </w:r>
          </w:p>
        </w:tc>
      </w:tr>
      <w:tr w:rsidR="00D5404D" w:rsidRPr="002415A5" w14:paraId="39D351A9" w14:textId="77777777" w:rsidTr="00970EE2">
        <w:trPr>
          <w:trHeight w:val="302"/>
          <w:jc w:val="center"/>
        </w:trPr>
        <w:tc>
          <w:tcPr>
            <w:tcW w:w="2515" w:type="dxa"/>
            <w:gridSpan w:val="2"/>
            <w:tcBorders>
              <w:bottom w:val="nil"/>
              <w:right w:val="nil"/>
            </w:tcBorders>
          </w:tcPr>
          <w:p w14:paraId="79B44812" w14:textId="77777777" w:rsidR="00D5404D" w:rsidRPr="00FC4743" w:rsidRDefault="00D5404D" w:rsidP="00970EE2">
            <w:pPr>
              <w:spacing w:before="35" w:after="35"/>
              <w:rPr>
                <w:rFonts w:ascii="Gill Sans MT" w:hAnsi="Gill Sans MT" w:cs="Arial"/>
                <w:sz w:val="20"/>
                <w:szCs w:val="20"/>
                <w:highlight w:val="yellow"/>
              </w:rPr>
            </w:pPr>
            <w:r w:rsidRPr="004E6B0E">
              <w:rPr>
                <w:rFonts w:ascii="Gill Sans MT" w:hAnsi="Gill Sans MT"/>
                <w:sz w:val="20"/>
                <w:szCs w:val="20"/>
              </w:rPr>
              <w:t>Vocabulary</w:t>
            </w:r>
          </w:p>
        </w:tc>
        <w:tc>
          <w:tcPr>
            <w:tcW w:w="2070" w:type="dxa"/>
            <w:tcBorders>
              <w:left w:val="nil"/>
              <w:bottom w:val="nil"/>
              <w:right w:val="nil"/>
            </w:tcBorders>
            <w:vAlign w:val="bottom"/>
          </w:tcPr>
          <w:p w14:paraId="143DC923" w14:textId="77777777" w:rsidR="00D5404D" w:rsidRPr="00FC4743" w:rsidRDefault="00D5404D" w:rsidP="00970EE2">
            <w:pPr>
              <w:spacing w:before="35" w:after="35"/>
              <w:jc w:val="center"/>
              <w:rPr>
                <w:rFonts w:ascii="Gill Sans MT" w:hAnsi="Gill Sans MT" w:cs="Calibri"/>
                <w:color w:val="000000"/>
                <w:sz w:val="20"/>
                <w:highlight w:val="yellow"/>
              </w:rPr>
            </w:pPr>
            <w:r>
              <w:rPr>
                <w:rFonts w:ascii="Gill Sans MT" w:hAnsi="Gill Sans MT" w:cs="Calibri"/>
                <w:color w:val="000000"/>
                <w:sz w:val="20"/>
                <w:szCs w:val="22"/>
              </w:rPr>
              <w:t>-0.34 (40)</w:t>
            </w:r>
          </w:p>
        </w:tc>
        <w:tc>
          <w:tcPr>
            <w:tcW w:w="1620" w:type="dxa"/>
            <w:tcBorders>
              <w:left w:val="nil"/>
              <w:bottom w:val="nil"/>
              <w:right w:val="nil"/>
            </w:tcBorders>
          </w:tcPr>
          <w:p w14:paraId="2159FB17" w14:textId="77777777" w:rsidR="00D5404D" w:rsidRPr="00FC4743" w:rsidRDefault="00D5404D" w:rsidP="00970EE2">
            <w:pPr>
              <w:keepNext/>
              <w:adjustRightInd w:val="0"/>
              <w:spacing w:before="35" w:after="35"/>
              <w:jc w:val="center"/>
              <w:rPr>
                <w:rFonts w:ascii="Gill Sans MT" w:hAnsi="Gill Sans MT"/>
                <w:color w:val="000000"/>
                <w:sz w:val="20"/>
                <w:szCs w:val="20"/>
                <w:highlight w:val="yellow"/>
              </w:rPr>
            </w:pPr>
            <w:r>
              <w:rPr>
                <w:rFonts w:ascii="Gill Sans MT" w:hAnsi="Gill Sans MT"/>
                <w:color w:val="000000"/>
                <w:sz w:val="20"/>
                <w:szCs w:val="20"/>
              </w:rPr>
              <w:t>0.670</w:t>
            </w:r>
          </w:p>
        </w:tc>
        <w:tc>
          <w:tcPr>
            <w:tcW w:w="1440" w:type="dxa"/>
            <w:tcBorders>
              <w:left w:val="nil"/>
              <w:bottom w:val="nil"/>
            </w:tcBorders>
          </w:tcPr>
          <w:p w14:paraId="14025DC0" w14:textId="77777777" w:rsidR="00D5404D" w:rsidRPr="00FC4743" w:rsidRDefault="00D5404D" w:rsidP="00970EE2">
            <w:pPr>
              <w:spacing w:before="35" w:after="35"/>
              <w:jc w:val="center"/>
              <w:rPr>
                <w:rFonts w:ascii="Gill Sans MT" w:hAnsi="Gill Sans MT" w:cs="Arial"/>
                <w:sz w:val="20"/>
                <w:szCs w:val="20"/>
                <w:highlight w:val="yellow"/>
              </w:rPr>
            </w:pPr>
            <w:r>
              <w:rPr>
                <w:rFonts w:ascii="Gill Sans MT" w:hAnsi="Gill Sans MT" w:cs="Arial"/>
                <w:sz w:val="20"/>
                <w:szCs w:val="20"/>
              </w:rPr>
              <w:t>-0.06 (-3%)</w:t>
            </w:r>
          </w:p>
        </w:tc>
      </w:tr>
      <w:tr w:rsidR="00D5404D" w:rsidRPr="002415A5" w14:paraId="7891FD43" w14:textId="77777777" w:rsidTr="00970EE2">
        <w:trPr>
          <w:trHeight w:val="302"/>
          <w:jc w:val="center"/>
        </w:trPr>
        <w:tc>
          <w:tcPr>
            <w:tcW w:w="2515" w:type="dxa"/>
            <w:gridSpan w:val="2"/>
            <w:tcBorders>
              <w:bottom w:val="nil"/>
              <w:right w:val="nil"/>
            </w:tcBorders>
          </w:tcPr>
          <w:p w14:paraId="7AF0A219" w14:textId="77777777" w:rsidR="00D5404D" w:rsidRPr="00FC4743" w:rsidRDefault="00D5404D" w:rsidP="00970EE2">
            <w:pPr>
              <w:spacing w:before="35" w:after="35"/>
              <w:rPr>
                <w:rFonts w:ascii="Gill Sans MT" w:hAnsi="Gill Sans MT" w:cs="Arial"/>
                <w:sz w:val="20"/>
                <w:szCs w:val="20"/>
                <w:highlight w:val="yellow"/>
              </w:rPr>
            </w:pPr>
            <w:r>
              <w:rPr>
                <w:rFonts w:ascii="Gill Sans MT" w:hAnsi="Gill Sans MT"/>
                <w:sz w:val="20"/>
                <w:szCs w:val="20"/>
              </w:rPr>
              <w:t>Sentence Comprehension</w:t>
            </w:r>
          </w:p>
        </w:tc>
        <w:tc>
          <w:tcPr>
            <w:tcW w:w="2070" w:type="dxa"/>
            <w:tcBorders>
              <w:left w:val="nil"/>
              <w:bottom w:val="nil"/>
              <w:right w:val="nil"/>
            </w:tcBorders>
            <w:vAlign w:val="center"/>
          </w:tcPr>
          <w:p w14:paraId="7C8793E3" w14:textId="77777777" w:rsidR="00D5404D" w:rsidRPr="00FC4743" w:rsidRDefault="00D5404D" w:rsidP="00970EE2">
            <w:pPr>
              <w:spacing w:before="35" w:after="35"/>
              <w:jc w:val="center"/>
              <w:rPr>
                <w:rFonts w:ascii="Gill Sans MT" w:hAnsi="Gill Sans MT" w:cs="Calibri"/>
                <w:color w:val="000000"/>
                <w:sz w:val="20"/>
                <w:highlight w:val="yellow"/>
              </w:rPr>
            </w:pPr>
            <w:r>
              <w:rPr>
                <w:rFonts w:ascii="Gill Sans MT" w:hAnsi="Gill Sans MT" w:cs="Calibri"/>
                <w:color w:val="000000"/>
                <w:sz w:val="20"/>
                <w:szCs w:val="22"/>
              </w:rPr>
              <w:t>0.35 (19)</w:t>
            </w:r>
          </w:p>
        </w:tc>
        <w:tc>
          <w:tcPr>
            <w:tcW w:w="1620" w:type="dxa"/>
            <w:tcBorders>
              <w:left w:val="nil"/>
              <w:bottom w:val="nil"/>
              <w:right w:val="nil"/>
            </w:tcBorders>
            <w:vAlign w:val="center"/>
          </w:tcPr>
          <w:p w14:paraId="78416093" w14:textId="77777777" w:rsidR="00D5404D" w:rsidRPr="00FC4743" w:rsidRDefault="00D5404D" w:rsidP="00970EE2">
            <w:pPr>
              <w:keepNext/>
              <w:adjustRightInd w:val="0"/>
              <w:spacing w:before="35" w:after="35"/>
              <w:jc w:val="center"/>
              <w:rPr>
                <w:rFonts w:ascii="Gill Sans MT" w:hAnsi="Gill Sans MT"/>
                <w:color w:val="000000"/>
                <w:sz w:val="20"/>
                <w:szCs w:val="20"/>
                <w:highlight w:val="yellow"/>
              </w:rPr>
            </w:pPr>
            <w:r>
              <w:rPr>
                <w:rFonts w:ascii="Gill Sans MT" w:hAnsi="Gill Sans MT"/>
                <w:color w:val="000000"/>
                <w:sz w:val="20"/>
                <w:szCs w:val="20"/>
              </w:rPr>
              <w:t>0.235</w:t>
            </w:r>
          </w:p>
        </w:tc>
        <w:tc>
          <w:tcPr>
            <w:tcW w:w="1440" w:type="dxa"/>
            <w:tcBorders>
              <w:left w:val="nil"/>
              <w:bottom w:val="nil"/>
            </w:tcBorders>
            <w:vAlign w:val="center"/>
          </w:tcPr>
          <w:p w14:paraId="7F22E401" w14:textId="77777777" w:rsidR="00D5404D" w:rsidRPr="00FC4743" w:rsidRDefault="00D5404D" w:rsidP="00970EE2">
            <w:pPr>
              <w:spacing w:before="35" w:after="35"/>
              <w:jc w:val="center"/>
              <w:rPr>
                <w:rFonts w:ascii="Gill Sans MT" w:hAnsi="Gill Sans MT" w:cs="Arial"/>
                <w:sz w:val="20"/>
                <w:szCs w:val="20"/>
                <w:highlight w:val="yellow"/>
              </w:rPr>
            </w:pPr>
            <w:r>
              <w:rPr>
                <w:rFonts w:ascii="Gill Sans MT" w:hAnsi="Gill Sans MT" w:cs="Arial"/>
                <w:sz w:val="20"/>
                <w:szCs w:val="20"/>
              </w:rPr>
              <w:t>0.09 (3%)</w:t>
            </w:r>
          </w:p>
        </w:tc>
      </w:tr>
      <w:tr w:rsidR="00D5404D" w:rsidRPr="002415A5" w14:paraId="085FF986" w14:textId="77777777" w:rsidTr="00970EE2">
        <w:trPr>
          <w:trHeight w:val="302"/>
          <w:jc w:val="center"/>
        </w:trPr>
        <w:tc>
          <w:tcPr>
            <w:tcW w:w="2515" w:type="dxa"/>
            <w:gridSpan w:val="2"/>
            <w:tcBorders>
              <w:bottom w:val="nil"/>
              <w:right w:val="nil"/>
            </w:tcBorders>
          </w:tcPr>
          <w:p w14:paraId="13ADD9C5" w14:textId="77777777" w:rsidR="00D5404D" w:rsidRPr="00FC4743" w:rsidRDefault="00D5404D" w:rsidP="00970EE2">
            <w:pPr>
              <w:spacing w:before="35" w:after="35"/>
              <w:rPr>
                <w:rFonts w:ascii="Gill Sans MT" w:hAnsi="Gill Sans MT" w:cs="Arial"/>
                <w:sz w:val="20"/>
                <w:szCs w:val="20"/>
                <w:highlight w:val="yellow"/>
              </w:rPr>
            </w:pPr>
            <w:r>
              <w:rPr>
                <w:rFonts w:ascii="Gill Sans MT" w:hAnsi="Gill Sans MT"/>
                <w:sz w:val="20"/>
                <w:szCs w:val="20"/>
              </w:rPr>
              <w:t>Listening Comprehension</w:t>
            </w:r>
          </w:p>
        </w:tc>
        <w:tc>
          <w:tcPr>
            <w:tcW w:w="2070" w:type="dxa"/>
            <w:tcBorders>
              <w:left w:val="nil"/>
              <w:bottom w:val="nil"/>
              <w:right w:val="nil"/>
            </w:tcBorders>
            <w:vAlign w:val="center"/>
          </w:tcPr>
          <w:p w14:paraId="0F8819BC" w14:textId="77777777" w:rsidR="00D5404D" w:rsidRPr="00FC4743" w:rsidRDefault="00D5404D" w:rsidP="00970EE2">
            <w:pPr>
              <w:spacing w:before="35" w:after="35"/>
              <w:jc w:val="center"/>
              <w:rPr>
                <w:rFonts w:ascii="Gill Sans MT" w:hAnsi="Gill Sans MT" w:cs="Calibri"/>
                <w:color w:val="000000"/>
                <w:sz w:val="20"/>
                <w:highlight w:val="yellow"/>
              </w:rPr>
            </w:pPr>
            <w:r>
              <w:rPr>
                <w:rFonts w:ascii="Gill Sans MT" w:hAnsi="Gill Sans MT" w:cs="Calibri"/>
                <w:color w:val="000000"/>
                <w:sz w:val="20"/>
                <w:szCs w:val="22"/>
              </w:rPr>
              <w:t>-0.15 (17)</w:t>
            </w:r>
          </w:p>
        </w:tc>
        <w:tc>
          <w:tcPr>
            <w:tcW w:w="1620" w:type="dxa"/>
            <w:tcBorders>
              <w:left w:val="nil"/>
              <w:bottom w:val="nil"/>
              <w:right w:val="nil"/>
            </w:tcBorders>
            <w:vAlign w:val="center"/>
          </w:tcPr>
          <w:p w14:paraId="734FF97E" w14:textId="77777777" w:rsidR="00D5404D" w:rsidRPr="00FC4743" w:rsidRDefault="00D5404D" w:rsidP="00970EE2">
            <w:pPr>
              <w:keepNext/>
              <w:adjustRightInd w:val="0"/>
              <w:spacing w:before="35" w:after="35"/>
              <w:jc w:val="center"/>
              <w:rPr>
                <w:rFonts w:ascii="Gill Sans MT" w:hAnsi="Gill Sans MT"/>
                <w:color w:val="000000"/>
                <w:sz w:val="20"/>
                <w:szCs w:val="20"/>
                <w:highlight w:val="yellow"/>
              </w:rPr>
            </w:pPr>
            <w:r w:rsidRPr="0086088C">
              <w:rPr>
                <w:rFonts w:ascii="Gill Sans MT" w:hAnsi="Gill Sans MT"/>
                <w:color w:val="000000"/>
                <w:sz w:val="20"/>
                <w:szCs w:val="20"/>
              </w:rPr>
              <w:t>0.</w:t>
            </w:r>
            <w:r>
              <w:rPr>
                <w:rFonts w:ascii="Gill Sans MT" w:hAnsi="Gill Sans MT"/>
                <w:color w:val="000000"/>
                <w:sz w:val="20"/>
                <w:szCs w:val="20"/>
              </w:rPr>
              <w:t>394</w:t>
            </w:r>
          </w:p>
        </w:tc>
        <w:tc>
          <w:tcPr>
            <w:tcW w:w="1440" w:type="dxa"/>
            <w:tcBorders>
              <w:left w:val="nil"/>
              <w:bottom w:val="nil"/>
            </w:tcBorders>
            <w:vAlign w:val="center"/>
          </w:tcPr>
          <w:p w14:paraId="5E233974" w14:textId="77777777" w:rsidR="00D5404D" w:rsidRPr="00FC4743" w:rsidRDefault="00D5404D" w:rsidP="00970EE2">
            <w:pPr>
              <w:spacing w:before="35" w:after="35"/>
              <w:jc w:val="center"/>
              <w:rPr>
                <w:rFonts w:ascii="Gill Sans MT" w:hAnsi="Gill Sans MT" w:cs="Arial"/>
                <w:sz w:val="20"/>
                <w:szCs w:val="20"/>
                <w:highlight w:val="yellow"/>
              </w:rPr>
            </w:pPr>
            <w:r>
              <w:rPr>
                <w:rFonts w:ascii="Gill Sans MT" w:hAnsi="Gill Sans MT" w:cs="Arial"/>
                <w:sz w:val="20"/>
                <w:szCs w:val="20"/>
              </w:rPr>
              <w:t>-0.07 (-3%)</w:t>
            </w:r>
          </w:p>
        </w:tc>
      </w:tr>
      <w:tr w:rsidR="00D5404D" w:rsidRPr="00FC4743" w14:paraId="564A2CB5" w14:textId="77777777" w:rsidTr="00970EE2">
        <w:trPr>
          <w:trHeight w:val="302"/>
          <w:jc w:val="center"/>
        </w:trPr>
        <w:tc>
          <w:tcPr>
            <w:tcW w:w="2515" w:type="dxa"/>
            <w:gridSpan w:val="2"/>
            <w:tcBorders>
              <w:bottom w:val="nil"/>
              <w:right w:val="nil"/>
            </w:tcBorders>
          </w:tcPr>
          <w:p w14:paraId="64F4501C" w14:textId="77777777" w:rsidR="00D5404D" w:rsidRPr="00FC4743" w:rsidRDefault="00D5404D" w:rsidP="00970EE2">
            <w:pPr>
              <w:spacing w:before="35" w:after="35"/>
              <w:rPr>
                <w:rFonts w:ascii="Gill Sans MT" w:hAnsi="Gill Sans MT"/>
                <w:sz w:val="20"/>
                <w:szCs w:val="20"/>
                <w:highlight w:val="yellow"/>
              </w:rPr>
            </w:pPr>
            <w:r>
              <w:rPr>
                <w:rFonts w:ascii="Gill Sans MT" w:hAnsi="Gill Sans MT"/>
                <w:sz w:val="20"/>
                <w:szCs w:val="20"/>
              </w:rPr>
              <w:t>Passage Comprehension</w:t>
            </w:r>
          </w:p>
        </w:tc>
        <w:tc>
          <w:tcPr>
            <w:tcW w:w="2070" w:type="dxa"/>
            <w:tcBorders>
              <w:left w:val="nil"/>
              <w:bottom w:val="nil"/>
              <w:right w:val="nil"/>
            </w:tcBorders>
            <w:vAlign w:val="center"/>
          </w:tcPr>
          <w:p w14:paraId="0BB2387D" w14:textId="77777777" w:rsidR="00D5404D" w:rsidRPr="00FC4743" w:rsidRDefault="00D5404D" w:rsidP="00970EE2">
            <w:pPr>
              <w:keepNext/>
              <w:adjustRightInd w:val="0"/>
              <w:spacing w:before="35" w:after="35"/>
              <w:jc w:val="center"/>
              <w:rPr>
                <w:rFonts w:ascii="Gill Sans MT" w:hAnsi="Gill Sans MT"/>
                <w:color w:val="000000"/>
                <w:sz w:val="20"/>
                <w:szCs w:val="20"/>
                <w:highlight w:val="yellow"/>
              </w:rPr>
            </w:pPr>
            <w:r>
              <w:rPr>
                <w:rFonts w:ascii="Gill Sans MT" w:hAnsi="Gill Sans MT"/>
                <w:color w:val="000000"/>
                <w:sz w:val="20"/>
                <w:szCs w:val="20"/>
              </w:rPr>
              <w:t>0.73 (30)</w:t>
            </w:r>
          </w:p>
        </w:tc>
        <w:tc>
          <w:tcPr>
            <w:tcW w:w="1620" w:type="dxa"/>
            <w:tcBorders>
              <w:left w:val="nil"/>
              <w:bottom w:val="nil"/>
              <w:right w:val="nil"/>
            </w:tcBorders>
            <w:vAlign w:val="center"/>
          </w:tcPr>
          <w:p w14:paraId="4F2DBF9E" w14:textId="77777777" w:rsidR="00D5404D" w:rsidRPr="00FC4743" w:rsidRDefault="00D5404D" w:rsidP="00970EE2">
            <w:pPr>
              <w:keepNext/>
              <w:adjustRightInd w:val="0"/>
              <w:spacing w:before="35" w:after="35"/>
              <w:jc w:val="center"/>
              <w:rPr>
                <w:rFonts w:ascii="Gill Sans MT" w:hAnsi="Gill Sans MT"/>
                <w:color w:val="000000"/>
                <w:sz w:val="20"/>
                <w:szCs w:val="20"/>
                <w:highlight w:val="yellow"/>
              </w:rPr>
            </w:pPr>
            <w:r>
              <w:rPr>
                <w:rFonts w:ascii="Gill Sans MT" w:hAnsi="Gill Sans MT"/>
                <w:color w:val="000000"/>
                <w:sz w:val="20"/>
                <w:szCs w:val="20"/>
              </w:rPr>
              <w:t>0.271</w:t>
            </w:r>
          </w:p>
        </w:tc>
        <w:tc>
          <w:tcPr>
            <w:tcW w:w="1440" w:type="dxa"/>
            <w:tcBorders>
              <w:left w:val="nil"/>
              <w:bottom w:val="nil"/>
            </w:tcBorders>
            <w:vAlign w:val="center"/>
          </w:tcPr>
          <w:p w14:paraId="291CF0AF" w14:textId="77777777" w:rsidR="00D5404D" w:rsidRPr="00FC4743" w:rsidRDefault="00D5404D" w:rsidP="00970EE2">
            <w:pPr>
              <w:spacing w:before="35" w:after="35"/>
              <w:jc w:val="center"/>
              <w:rPr>
                <w:rFonts w:ascii="Gill Sans MT" w:hAnsi="Gill Sans MT" w:cs="Arial"/>
                <w:sz w:val="20"/>
                <w:szCs w:val="20"/>
                <w:highlight w:val="yellow"/>
              </w:rPr>
            </w:pPr>
            <w:r>
              <w:rPr>
                <w:rFonts w:ascii="Gill Sans MT" w:hAnsi="Gill Sans MT" w:cs="Arial"/>
                <w:sz w:val="20"/>
                <w:szCs w:val="20"/>
              </w:rPr>
              <w:t>0.13 (5%)</w:t>
            </w:r>
          </w:p>
        </w:tc>
      </w:tr>
      <w:tr w:rsidR="00D5404D" w:rsidRPr="002415A5" w14:paraId="312DD945" w14:textId="77777777" w:rsidTr="00970EE2">
        <w:trPr>
          <w:trHeight w:val="302"/>
          <w:jc w:val="center"/>
        </w:trPr>
        <w:tc>
          <w:tcPr>
            <w:tcW w:w="2515" w:type="dxa"/>
            <w:gridSpan w:val="2"/>
            <w:tcBorders>
              <w:bottom w:val="nil"/>
              <w:right w:val="nil"/>
            </w:tcBorders>
          </w:tcPr>
          <w:p w14:paraId="76A2125D" w14:textId="77777777" w:rsidR="00D5404D" w:rsidRPr="00FC4743" w:rsidRDefault="00D5404D" w:rsidP="00970EE2">
            <w:pPr>
              <w:spacing w:before="35" w:after="35"/>
              <w:rPr>
                <w:rFonts w:ascii="Gill Sans MT" w:hAnsi="Gill Sans MT"/>
                <w:sz w:val="20"/>
                <w:szCs w:val="20"/>
                <w:highlight w:val="yellow"/>
              </w:rPr>
            </w:pPr>
            <w:r>
              <w:rPr>
                <w:rFonts w:ascii="Gill Sans MT" w:hAnsi="Gill Sans MT"/>
                <w:sz w:val="20"/>
                <w:szCs w:val="20"/>
              </w:rPr>
              <w:t>Total</w:t>
            </w:r>
            <w:r w:rsidRPr="00F859F1">
              <w:rPr>
                <w:rFonts w:ascii="Gill Sans MT" w:hAnsi="Gill Sans MT"/>
                <w:sz w:val="20"/>
                <w:szCs w:val="20"/>
              </w:rPr>
              <w:t xml:space="preserve"> Comprehension</w:t>
            </w:r>
          </w:p>
        </w:tc>
        <w:tc>
          <w:tcPr>
            <w:tcW w:w="2070" w:type="dxa"/>
            <w:tcBorders>
              <w:left w:val="nil"/>
              <w:bottom w:val="nil"/>
              <w:right w:val="nil"/>
            </w:tcBorders>
            <w:vAlign w:val="center"/>
          </w:tcPr>
          <w:p w14:paraId="42A7683B" w14:textId="77777777" w:rsidR="00D5404D" w:rsidRPr="00FC4743" w:rsidRDefault="00D5404D" w:rsidP="00970EE2">
            <w:pPr>
              <w:keepNext/>
              <w:adjustRightInd w:val="0"/>
              <w:spacing w:before="35" w:after="35"/>
              <w:jc w:val="center"/>
              <w:rPr>
                <w:rFonts w:ascii="Gill Sans MT" w:hAnsi="Gill Sans MT"/>
                <w:color w:val="000000"/>
                <w:sz w:val="20"/>
                <w:szCs w:val="20"/>
                <w:highlight w:val="yellow"/>
              </w:rPr>
            </w:pPr>
            <w:r>
              <w:rPr>
                <w:rFonts w:ascii="Gill Sans MT" w:hAnsi="Gill Sans MT"/>
                <w:color w:val="000000"/>
                <w:sz w:val="20"/>
                <w:szCs w:val="20"/>
              </w:rPr>
              <w:t>1.08 (49)</w:t>
            </w:r>
          </w:p>
        </w:tc>
        <w:tc>
          <w:tcPr>
            <w:tcW w:w="1620" w:type="dxa"/>
            <w:tcBorders>
              <w:left w:val="nil"/>
              <w:bottom w:val="nil"/>
              <w:right w:val="nil"/>
            </w:tcBorders>
            <w:vAlign w:val="center"/>
          </w:tcPr>
          <w:p w14:paraId="2B566F62" w14:textId="77777777" w:rsidR="00D5404D" w:rsidRPr="00FC4743" w:rsidRDefault="00D5404D" w:rsidP="00970EE2">
            <w:pPr>
              <w:keepNext/>
              <w:adjustRightInd w:val="0"/>
              <w:spacing w:before="35" w:after="35"/>
              <w:jc w:val="center"/>
              <w:rPr>
                <w:rFonts w:ascii="Gill Sans MT" w:hAnsi="Gill Sans MT"/>
                <w:color w:val="000000"/>
                <w:sz w:val="20"/>
                <w:szCs w:val="20"/>
                <w:highlight w:val="yellow"/>
              </w:rPr>
            </w:pPr>
            <w:r w:rsidRPr="0086088C">
              <w:rPr>
                <w:rFonts w:ascii="Gill Sans MT" w:hAnsi="Gill Sans MT"/>
                <w:color w:val="000000"/>
                <w:sz w:val="20"/>
                <w:szCs w:val="20"/>
              </w:rPr>
              <w:t>0</w:t>
            </w:r>
            <w:r>
              <w:rPr>
                <w:rFonts w:ascii="Gill Sans MT" w:hAnsi="Gill Sans MT"/>
                <w:color w:val="000000"/>
                <w:sz w:val="20"/>
                <w:szCs w:val="20"/>
              </w:rPr>
              <w:t>.162</w:t>
            </w:r>
          </w:p>
        </w:tc>
        <w:tc>
          <w:tcPr>
            <w:tcW w:w="1440" w:type="dxa"/>
            <w:tcBorders>
              <w:left w:val="nil"/>
              <w:bottom w:val="nil"/>
            </w:tcBorders>
            <w:vAlign w:val="center"/>
          </w:tcPr>
          <w:p w14:paraId="2DFBD52D" w14:textId="77777777" w:rsidR="00D5404D" w:rsidRPr="00FC4743" w:rsidRDefault="00D5404D" w:rsidP="00970EE2">
            <w:pPr>
              <w:spacing w:before="35" w:after="35"/>
              <w:jc w:val="center"/>
              <w:rPr>
                <w:rFonts w:ascii="Gill Sans MT" w:hAnsi="Gill Sans MT" w:cs="Arial"/>
                <w:sz w:val="20"/>
                <w:szCs w:val="20"/>
                <w:highlight w:val="yellow"/>
              </w:rPr>
            </w:pPr>
            <w:r>
              <w:rPr>
                <w:rFonts w:ascii="Gill Sans MT" w:hAnsi="Gill Sans MT" w:cs="Arial"/>
                <w:sz w:val="20"/>
                <w:szCs w:val="20"/>
              </w:rPr>
              <w:t>0.12 (5%)</w:t>
            </w:r>
          </w:p>
        </w:tc>
      </w:tr>
      <w:tr w:rsidR="00D5404D" w:rsidRPr="002415A5" w14:paraId="3C5F904D" w14:textId="77777777" w:rsidTr="00970EE2">
        <w:trPr>
          <w:trHeight w:val="302"/>
          <w:jc w:val="center"/>
        </w:trPr>
        <w:tc>
          <w:tcPr>
            <w:tcW w:w="2515" w:type="dxa"/>
            <w:gridSpan w:val="2"/>
            <w:tcBorders>
              <w:bottom w:val="nil"/>
              <w:right w:val="nil"/>
            </w:tcBorders>
          </w:tcPr>
          <w:p w14:paraId="46F4EF34" w14:textId="77777777" w:rsidR="00D5404D" w:rsidRDefault="00D5404D" w:rsidP="00970EE2">
            <w:pPr>
              <w:spacing w:before="35" w:after="35"/>
              <w:rPr>
                <w:rFonts w:ascii="Gill Sans MT" w:hAnsi="Gill Sans MT"/>
                <w:sz w:val="20"/>
                <w:szCs w:val="20"/>
              </w:rPr>
            </w:pPr>
            <w:r>
              <w:rPr>
                <w:rFonts w:ascii="Gill Sans MT" w:hAnsi="Gill Sans MT"/>
                <w:sz w:val="20"/>
                <w:szCs w:val="20"/>
              </w:rPr>
              <w:t>Academic Attitude</w:t>
            </w:r>
          </w:p>
        </w:tc>
        <w:tc>
          <w:tcPr>
            <w:tcW w:w="2070" w:type="dxa"/>
            <w:tcBorders>
              <w:left w:val="nil"/>
              <w:bottom w:val="nil"/>
              <w:right w:val="nil"/>
            </w:tcBorders>
            <w:vAlign w:val="center"/>
          </w:tcPr>
          <w:p w14:paraId="3D896E24" w14:textId="77777777" w:rsidR="00D5404D" w:rsidRPr="00745334" w:rsidRDefault="00D5404D" w:rsidP="00970EE2">
            <w:pPr>
              <w:keepNext/>
              <w:adjustRightInd w:val="0"/>
              <w:spacing w:before="35" w:after="35"/>
              <w:jc w:val="center"/>
              <w:rPr>
                <w:rFonts w:ascii="Gill Sans MT" w:hAnsi="Gill Sans MT"/>
                <w:color w:val="000000"/>
                <w:sz w:val="20"/>
                <w:szCs w:val="20"/>
              </w:rPr>
            </w:pPr>
            <w:r>
              <w:rPr>
                <w:rFonts w:ascii="Gill Sans MT" w:hAnsi="Gill Sans MT"/>
                <w:color w:val="000000"/>
                <w:sz w:val="20"/>
                <w:szCs w:val="20"/>
              </w:rPr>
              <w:t>-0.99 (-20,+20)</w:t>
            </w:r>
          </w:p>
        </w:tc>
        <w:tc>
          <w:tcPr>
            <w:tcW w:w="1620" w:type="dxa"/>
            <w:tcBorders>
              <w:left w:val="nil"/>
              <w:bottom w:val="nil"/>
              <w:right w:val="nil"/>
            </w:tcBorders>
            <w:vAlign w:val="center"/>
          </w:tcPr>
          <w:p w14:paraId="5C532328" w14:textId="77777777" w:rsidR="00D5404D" w:rsidRPr="00653598" w:rsidRDefault="00D5404D" w:rsidP="00970EE2">
            <w:pPr>
              <w:keepNext/>
              <w:adjustRightInd w:val="0"/>
              <w:spacing w:before="35" w:after="35"/>
              <w:jc w:val="center"/>
              <w:rPr>
                <w:rFonts w:ascii="Gill Sans MT" w:hAnsi="Gill Sans MT"/>
                <w:color w:val="000000"/>
                <w:sz w:val="20"/>
                <w:szCs w:val="20"/>
              </w:rPr>
            </w:pPr>
            <w:r>
              <w:rPr>
                <w:rFonts w:ascii="Gill Sans MT" w:hAnsi="Gill Sans MT"/>
                <w:color w:val="000000"/>
                <w:sz w:val="20"/>
                <w:szCs w:val="20"/>
              </w:rPr>
              <w:t>0.114</w:t>
            </w:r>
          </w:p>
        </w:tc>
        <w:tc>
          <w:tcPr>
            <w:tcW w:w="1440" w:type="dxa"/>
            <w:tcBorders>
              <w:left w:val="nil"/>
              <w:bottom w:val="nil"/>
            </w:tcBorders>
            <w:vAlign w:val="center"/>
          </w:tcPr>
          <w:p w14:paraId="7C78ABB1" w14:textId="77777777" w:rsidR="00D5404D" w:rsidRPr="00ED1841" w:rsidRDefault="00D5404D" w:rsidP="00970EE2">
            <w:pPr>
              <w:spacing w:before="35" w:after="35"/>
              <w:jc w:val="center"/>
              <w:rPr>
                <w:rFonts w:ascii="Gill Sans MT" w:hAnsi="Gill Sans MT" w:cs="Arial"/>
                <w:sz w:val="20"/>
                <w:szCs w:val="20"/>
                <w:highlight w:val="yellow"/>
              </w:rPr>
            </w:pPr>
            <w:r>
              <w:rPr>
                <w:rFonts w:ascii="Gill Sans MT" w:hAnsi="Gill Sans MT" w:cs="Arial"/>
                <w:sz w:val="20"/>
                <w:szCs w:val="20"/>
              </w:rPr>
              <w:t>-0.17 (-7</w:t>
            </w:r>
            <w:r w:rsidRPr="00745334">
              <w:rPr>
                <w:rFonts w:ascii="Gill Sans MT" w:hAnsi="Gill Sans MT" w:cs="Arial"/>
                <w:sz w:val="20"/>
                <w:szCs w:val="20"/>
              </w:rPr>
              <w:t>%)</w:t>
            </w:r>
          </w:p>
        </w:tc>
      </w:tr>
      <w:tr w:rsidR="00D5404D" w:rsidRPr="00662A62" w14:paraId="7285AD19" w14:textId="77777777" w:rsidTr="00970EE2">
        <w:trPr>
          <w:jc w:val="center"/>
        </w:trPr>
        <w:tc>
          <w:tcPr>
            <w:tcW w:w="7645" w:type="dxa"/>
            <w:gridSpan w:val="5"/>
            <w:shd w:val="clear" w:color="auto" w:fill="CCCCCC"/>
          </w:tcPr>
          <w:p w14:paraId="392F9C23" w14:textId="77777777" w:rsidR="00D5404D" w:rsidRPr="006657CF" w:rsidRDefault="00D5404D" w:rsidP="00970EE2">
            <w:pPr>
              <w:spacing w:before="11" w:after="11"/>
              <w:rPr>
                <w:rFonts w:ascii="Gill Sans MT" w:hAnsi="Gill Sans MT"/>
                <w:color w:val="000000"/>
                <w:sz w:val="16"/>
                <w:szCs w:val="16"/>
              </w:rPr>
            </w:pPr>
            <w:r w:rsidRPr="006657CF">
              <w:rPr>
                <w:rFonts w:ascii="Gill Sans MT" w:hAnsi="Gill Sans MT"/>
                <w:color w:val="000000"/>
                <w:sz w:val="16"/>
                <w:szCs w:val="16"/>
              </w:rPr>
              <w:t xml:space="preserve">1. </w:t>
            </w:r>
            <w:r w:rsidRPr="006657CF">
              <w:rPr>
                <w:rFonts w:ascii="Gill Sans MT" w:hAnsi="Gill Sans MT"/>
                <w:sz w:val="16"/>
                <w:szCs w:val="16"/>
              </w:rPr>
              <w:t xml:space="preserve">Numeric effect Size = </w:t>
            </w:r>
            <w:r>
              <w:rPr>
                <w:rFonts w:ascii="Gill Sans MT" w:hAnsi="Gill Sans MT"/>
                <w:color w:val="000000"/>
                <w:sz w:val="16"/>
                <w:szCs w:val="16"/>
              </w:rPr>
              <w:t xml:space="preserve">sample group mean </w:t>
            </w:r>
            <w:r w:rsidRPr="006657CF">
              <w:rPr>
                <w:rFonts w:ascii="Gill Sans MT" w:hAnsi="Gill Sans MT"/>
                <w:color w:val="000000"/>
                <w:sz w:val="16"/>
                <w:szCs w:val="16"/>
              </w:rPr>
              <w:t>score</w:t>
            </w:r>
            <w:r>
              <w:rPr>
                <w:rFonts w:ascii="Gill Sans MT" w:hAnsi="Gill Sans MT"/>
                <w:color w:val="000000"/>
                <w:sz w:val="16"/>
                <w:szCs w:val="16"/>
              </w:rPr>
              <w:t xml:space="preserve"> difference / comparison </w:t>
            </w:r>
            <w:r w:rsidRPr="006657CF">
              <w:rPr>
                <w:rFonts w:ascii="Gill Sans MT" w:hAnsi="Gill Sans MT"/>
                <w:color w:val="000000"/>
                <w:sz w:val="16"/>
                <w:szCs w:val="16"/>
              </w:rPr>
              <w:t>score standard deviation</w:t>
            </w:r>
            <w:r>
              <w:rPr>
                <w:rFonts w:ascii="Gill Sans MT" w:hAnsi="Gill Sans MT"/>
                <w:color w:val="000000"/>
                <w:sz w:val="16"/>
                <w:szCs w:val="16"/>
              </w:rPr>
              <w:t xml:space="preserve"> </w:t>
            </w:r>
            <w:r w:rsidRPr="006657CF">
              <w:rPr>
                <w:rFonts w:ascii="Gill Sans MT" w:hAnsi="Gill Sans MT"/>
                <w:sz w:val="16"/>
                <w:szCs w:val="16"/>
              </w:rPr>
              <w:t>Percent effect size = difference in percentile rank</w:t>
            </w:r>
            <w:r>
              <w:rPr>
                <w:rFonts w:ascii="Gill Sans MT" w:hAnsi="Gill Sans MT"/>
                <w:sz w:val="16"/>
                <w:szCs w:val="16"/>
              </w:rPr>
              <w:t xml:space="preserve"> for the median iLit group </w:t>
            </w:r>
            <w:r w:rsidRPr="006657CF">
              <w:rPr>
                <w:rFonts w:ascii="Gill Sans MT" w:hAnsi="Gill Sans MT"/>
                <w:sz w:val="16"/>
                <w:szCs w:val="16"/>
              </w:rPr>
              <w:t>score in relation to the comparison group’s scores</w:t>
            </w:r>
          </w:p>
        </w:tc>
      </w:tr>
    </w:tbl>
    <w:p w14:paraId="0D4E95BD" w14:textId="77777777" w:rsidR="003D244A" w:rsidRDefault="003D244A" w:rsidP="002B482F">
      <w:pPr>
        <w:jc w:val="both"/>
        <w:rPr>
          <w:b/>
          <w:highlight w:val="yellow"/>
        </w:rPr>
      </w:pPr>
    </w:p>
    <w:p w14:paraId="1AD33EAA" w14:textId="77777777" w:rsidR="00D5404D" w:rsidRDefault="00D5404D" w:rsidP="002B482F">
      <w:pPr>
        <w:jc w:val="both"/>
        <w:rPr>
          <w:b/>
          <w:highlight w:val="yellow"/>
        </w:rPr>
      </w:pPr>
    </w:p>
    <w:p w14:paraId="3517D2C8" w14:textId="77777777" w:rsidR="003D244A" w:rsidRPr="00233774" w:rsidRDefault="003D244A" w:rsidP="00233774">
      <w:pPr>
        <w:autoSpaceDE w:val="0"/>
        <w:autoSpaceDN w:val="0"/>
        <w:adjustRightInd w:val="0"/>
        <w:rPr>
          <w:b/>
          <w:color w:val="FFFF99"/>
          <w:sz w:val="8"/>
          <w:szCs w:val="8"/>
          <w:highlight w:val="darkBlue"/>
        </w:rPr>
      </w:pPr>
      <w:r w:rsidRPr="00233774">
        <w:rPr>
          <w:b/>
          <w:color w:val="FFFF99"/>
          <w:sz w:val="8"/>
          <w:szCs w:val="8"/>
          <w:highlight w:val="darkBlue"/>
        </w:rPr>
        <w:tab/>
      </w:r>
      <w:r w:rsidRPr="00233774">
        <w:rPr>
          <w:b/>
          <w:color w:val="FFFF99"/>
          <w:sz w:val="8"/>
          <w:szCs w:val="8"/>
          <w:highlight w:val="darkBlue"/>
        </w:rPr>
        <w:tab/>
      </w:r>
      <w:r w:rsidRPr="00233774">
        <w:rPr>
          <w:b/>
          <w:color w:val="FFFF99"/>
          <w:sz w:val="8"/>
          <w:szCs w:val="8"/>
          <w:highlight w:val="darkBlue"/>
        </w:rPr>
        <w:tab/>
      </w:r>
      <w:r w:rsidRPr="00233774">
        <w:rPr>
          <w:b/>
          <w:color w:val="FFFF99"/>
          <w:sz w:val="8"/>
          <w:szCs w:val="8"/>
          <w:highlight w:val="darkBlue"/>
        </w:rPr>
        <w:tab/>
      </w:r>
      <w:r w:rsidRPr="00233774">
        <w:rPr>
          <w:b/>
          <w:color w:val="FFFF99"/>
          <w:sz w:val="8"/>
          <w:szCs w:val="8"/>
          <w:highlight w:val="darkBlue"/>
        </w:rPr>
        <w:tab/>
      </w:r>
      <w:r w:rsidRPr="00233774">
        <w:rPr>
          <w:b/>
          <w:color w:val="FFFF99"/>
          <w:sz w:val="8"/>
          <w:szCs w:val="8"/>
          <w:highlight w:val="darkBlue"/>
        </w:rPr>
        <w:tab/>
      </w:r>
      <w:r w:rsidRPr="00233774">
        <w:rPr>
          <w:b/>
          <w:color w:val="FFFF99"/>
          <w:sz w:val="8"/>
          <w:szCs w:val="8"/>
          <w:highlight w:val="darkBlue"/>
        </w:rPr>
        <w:tab/>
      </w:r>
    </w:p>
    <w:p w14:paraId="6DFE0005" w14:textId="77777777" w:rsidR="003D244A" w:rsidRPr="00961380" w:rsidRDefault="003D244A" w:rsidP="00233774">
      <w:pPr>
        <w:rPr>
          <w:i/>
          <w:color w:val="000080"/>
          <w:sz w:val="28"/>
          <w:szCs w:val="28"/>
        </w:rPr>
      </w:pPr>
      <w:r w:rsidRPr="00150ABE">
        <w:rPr>
          <w:b/>
          <w:i/>
          <w:color w:val="000080"/>
          <w:sz w:val="28"/>
          <w:szCs w:val="28"/>
        </w:rPr>
        <w:t xml:space="preserve">  </w:t>
      </w:r>
      <w:r>
        <w:rPr>
          <w:b/>
          <w:i/>
          <w:color w:val="000080"/>
          <w:sz w:val="28"/>
          <w:szCs w:val="28"/>
        </w:rPr>
        <w:t xml:space="preserve">iLit Students’ </w:t>
      </w:r>
      <w:r w:rsidRPr="00150ABE">
        <w:rPr>
          <w:b/>
          <w:i/>
          <w:color w:val="000080"/>
          <w:sz w:val="28"/>
          <w:szCs w:val="28"/>
        </w:rPr>
        <w:t>Achievement Gains</w:t>
      </w:r>
    </w:p>
    <w:p w14:paraId="4453B6F4" w14:textId="77777777" w:rsidR="003D244A" w:rsidRPr="00233774" w:rsidRDefault="003D244A" w:rsidP="00233774">
      <w:pPr>
        <w:autoSpaceDE w:val="0"/>
        <w:autoSpaceDN w:val="0"/>
        <w:adjustRightInd w:val="0"/>
        <w:rPr>
          <w:b/>
          <w:color w:val="FFFF99"/>
          <w:sz w:val="8"/>
          <w:szCs w:val="8"/>
          <w:highlight w:val="darkBlue"/>
        </w:rPr>
      </w:pPr>
      <w:r w:rsidRPr="00233774">
        <w:rPr>
          <w:b/>
          <w:color w:val="FFFF99"/>
          <w:sz w:val="8"/>
          <w:szCs w:val="8"/>
          <w:highlight w:val="darkBlue"/>
        </w:rPr>
        <w:tab/>
      </w:r>
      <w:r w:rsidRPr="00233774">
        <w:rPr>
          <w:b/>
          <w:color w:val="FFFF99"/>
          <w:sz w:val="8"/>
          <w:szCs w:val="8"/>
          <w:highlight w:val="darkBlue"/>
        </w:rPr>
        <w:tab/>
      </w:r>
      <w:r w:rsidRPr="00233774">
        <w:rPr>
          <w:b/>
          <w:color w:val="FFFF99"/>
          <w:sz w:val="8"/>
          <w:szCs w:val="8"/>
          <w:highlight w:val="darkBlue"/>
        </w:rPr>
        <w:tab/>
      </w:r>
      <w:r w:rsidRPr="00233774">
        <w:rPr>
          <w:b/>
          <w:color w:val="FFFF99"/>
          <w:sz w:val="8"/>
          <w:szCs w:val="8"/>
          <w:highlight w:val="darkBlue"/>
        </w:rPr>
        <w:tab/>
      </w:r>
      <w:r w:rsidRPr="00233774">
        <w:rPr>
          <w:b/>
          <w:color w:val="FFFF99"/>
          <w:sz w:val="8"/>
          <w:szCs w:val="8"/>
          <w:highlight w:val="darkBlue"/>
        </w:rPr>
        <w:tab/>
      </w:r>
      <w:r w:rsidRPr="00233774">
        <w:rPr>
          <w:b/>
          <w:color w:val="FFFF99"/>
          <w:sz w:val="8"/>
          <w:szCs w:val="8"/>
          <w:highlight w:val="darkBlue"/>
        </w:rPr>
        <w:tab/>
      </w:r>
      <w:r w:rsidRPr="00233774">
        <w:rPr>
          <w:b/>
          <w:color w:val="FFFF99"/>
          <w:sz w:val="8"/>
          <w:szCs w:val="8"/>
          <w:highlight w:val="darkBlue"/>
        </w:rPr>
        <w:tab/>
      </w:r>
    </w:p>
    <w:p w14:paraId="5A9E8149" w14:textId="77777777" w:rsidR="003D244A" w:rsidRDefault="003D244A" w:rsidP="00233774">
      <w:pPr>
        <w:jc w:val="both"/>
      </w:pPr>
    </w:p>
    <w:p w14:paraId="0DD2B4C6" w14:textId="77777777" w:rsidR="003D244A" w:rsidRPr="00D5404D" w:rsidRDefault="003D244A" w:rsidP="00233774">
      <w:pPr>
        <w:jc w:val="both"/>
      </w:pPr>
      <w:r w:rsidRPr="00D5404D">
        <w:t>This section will attempt to answer research question one:</w:t>
      </w:r>
    </w:p>
    <w:p w14:paraId="676DCEF1" w14:textId="77777777" w:rsidR="003D244A" w:rsidRPr="00EC500D" w:rsidRDefault="003D244A" w:rsidP="00233774">
      <w:pPr>
        <w:jc w:val="both"/>
        <w:rPr>
          <w:highlight w:val="yellow"/>
        </w:rPr>
      </w:pPr>
    </w:p>
    <w:p w14:paraId="7AA8EA89" w14:textId="16FB8294" w:rsidR="005102F2" w:rsidRPr="00B904E6" w:rsidRDefault="005102F2" w:rsidP="005102F2">
      <w:pPr>
        <w:jc w:val="both"/>
        <w:rPr>
          <w:i/>
          <w:color w:val="000080"/>
        </w:rPr>
      </w:pPr>
      <w:r w:rsidRPr="00B904E6">
        <w:rPr>
          <w:i/>
          <w:color w:val="000080"/>
        </w:rPr>
        <w:t xml:space="preserve">RQ1. Do below grade level students, receiving core literacy instruction from the iLit program over the course of the initial and second school year of implementation, demonstrate a significant improvement in </w:t>
      </w:r>
      <w:r w:rsidR="00ED62C3">
        <w:rPr>
          <w:i/>
          <w:color w:val="000080"/>
        </w:rPr>
        <w:t xml:space="preserve">literacy </w:t>
      </w:r>
      <w:r w:rsidRPr="00B904E6">
        <w:rPr>
          <w:i/>
          <w:color w:val="000080"/>
        </w:rPr>
        <w:t xml:space="preserve">achievement? </w:t>
      </w:r>
    </w:p>
    <w:p w14:paraId="3D3A74B1" w14:textId="77777777" w:rsidR="00FF7419" w:rsidRPr="00EC500D" w:rsidRDefault="00FF7419" w:rsidP="00233774">
      <w:pPr>
        <w:jc w:val="both"/>
        <w:rPr>
          <w:highlight w:val="yellow"/>
        </w:rPr>
      </w:pPr>
    </w:p>
    <w:p w14:paraId="18541D4E" w14:textId="2F36A3E5" w:rsidR="00074183" w:rsidRDefault="0088341B" w:rsidP="00805A09">
      <w:pPr>
        <w:jc w:val="both"/>
        <w:rPr>
          <w:color w:val="000000"/>
        </w:rPr>
      </w:pPr>
      <w:r w:rsidRPr="00074183">
        <w:t xml:space="preserve">This section will present 2013-14 </w:t>
      </w:r>
      <w:r w:rsidR="00074183" w:rsidRPr="00074183">
        <w:t xml:space="preserve">and 2014-15 </w:t>
      </w:r>
      <w:r w:rsidRPr="00074183">
        <w:t xml:space="preserve">school year </w:t>
      </w:r>
      <w:r w:rsidR="003D244A" w:rsidRPr="00074183">
        <w:t>achievement results</w:t>
      </w:r>
      <w:r w:rsidRPr="00074183">
        <w:t xml:space="preserve"> for iLit students exclusively.  </w:t>
      </w:r>
      <w:r w:rsidR="00074183" w:rsidRPr="00074183">
        <w:t>These gains were consistent across school years and with a 10 percentile point increase for comprehension, a</w:t>
      </w:r>
      <w:r w:rsidR="006F6226">
        <w:t xml:space="preserve"> </w:t>
      </w:r>
      <w:r w:rsidR="00074183" w:rsidRPr="00074183">
        <w:t>16 percentile point increase for vocabulary, and a 15 percentile point gain in total achievement</w:t>
      </w:r>
      <w:r w:rsidR="003D244A" w:rsidRPr="00074183">
        <w:t>.  The largest gains were seen on the Listening Comprehension scale</w:t>
      </w:r>
      <w:r w:rsidR="00D05405">
        <w:t>, 26 and 19 percentile points in 2013-14 and 2015-16 respectively</w:t>
      </w:r>
      <w:r w:rsidR="003D244A" w:rsidRPr="00074183">
        <w:t>.</w:t>
      </w:r>
      <w:r w:rsidR="00805A09">
        <w:t xml:space="preserve">  </w:t>
      </w:r>
      <w:r w:rsidR="00074183" w:rsidRPr="00E92356">
        <w:t>The baseline-to-end of school year achievement gains for the iLit students were statistically significant on the GRADE and its subtests.</w:t>
      </w:r>
    </w:p>
    <w:p w14:paraId="6DF4E5C4" w14:textId="77777777" w:rsidR="00074183" w:rsidRPr="00074183" w:rsidRDefault="00074183" w:rsidP="00233774">
      <w:pPr>
        <w:jc w:val="both"/>
      </w:pPr>
    </w:p>
    <w:p w14:paraId="671F8564" w14:textId="470CFC3E" w:rsidR="003D244A" w:rsidRPr="00E92356" w:rsidRDefault="003D244A" w:rsidP="00233774">
      <w:pPr>
        <w:jc w:val="both"/>
        <w:rPr>
          <w:b/>
          <w:i/>
          <w:color w:val="000080"/>
          <w:sz w:val="28"/>
          <w:szCs w:val="28"/>
        </w:rPr>
      </w:pPr>
      <w:r w:rsidRPr="00E92356">
        <w:rPr>
          <w:b/>
          <w:i/>
          <w:color w:val="000080"/>
          <w:sz w:val="28"/>
          <w:szCs w:val="28"/>
        </w:rPr>
        <w:t xml:space="preserve">Students using the iLit program had large </w:t>
      </w:r>
      <w:r w:rsidR="00D05405">
        <w:rPr>
          <w:b/>
          <w:i/>
          <w:color w:val="000080"/>
          <w:sz w:val="28"/>
          <w:szCs w:val="28"/>
        </w:rPr>
        <w:t xml:space="preserve">statistically significant </w:t>
      </w:r>
      <w:r w:rsidRPr="00E92356">
        <w:rPr>
          <w:b/>
          <w:i/>
          <w:color w:val="000080"/>
          <w:sz w:val="28"/>
          <w:szCs w:val="28"/>
        </w:rPr>
        <w:t>achievement gains from the first school year implementing the program</w:t>
      </w:r>
      <w:r w:rsidR="00E92356" w:rsidRPr="00E92356">
        <w:rPr>
          <w:b/>
          <w:i/>
          <w:color w:val="000080"/>
          <w:sz w:val="28"/>
          <w:szCs w:val="28"/>
        </w:rPr>
        <w:t xml:space="preserve"> and continued to show large achievement gains into the second school year</w:t>
      </w:r>
      <w:r w:rsidRPr="00E92356">
        <w:rPr>
          <w:b/>
          <w:i/>
          <w:color w:val="000080"/>
          <w:sz w:val="28"/>
          <w:szCs w:val="28"/>
        </w:rPr>
        <w:t>.</w:t>
      </w:r>
    </w:p>
    <w:p w14:paraId="3F4D2A77" w14:textId="77777777" w:rsidR="003D244A" w:rsidRPr="00E92356" w:rsidRDefault="003D244A" w:rsidP="00233774">
      <w:pPr>
        <w:jc w:val="both"/>
      </w:pPr>
    </w:p>
    <w:p w14:paraId="0E62E89B" w14:textId="3048127B" w:rsidR="003D244A" w:rsidRPr="00074183" w:rsidRDefault="003D244A" w:rsidP="00D24213">
      <w:pPr>
        <w:jc w:val="both"/>
        <w:rPr>
          <w:color w:val="000000" w:themeColor="text1"/>
        </w:rPr>
      </w:pPr>
      <w:r w:rsidRPr="00074183">
        <w:lastRenderedPageBreak/>
        <w:t>A recent report</w:t>
      </w:r>
      <w:r w:rsidR="001208D7" w:rsidRPr="00074183">
        <w:rPr>
          <w:rStyle w:val="FootnoteReference"/>
        </w:rPr>
        <w:footnoteReference w:id="6"/>
      </w:r>
      <w:r w:rsidR="001208D7" w:rsidRPr="00074183">
        <w:t xml:space="preserve"> </w:t>
      </w:r>
      <w:r w:rsidRPr="00074183">
        <w:t>of achievement gains seen across widely used</w:t>
      </w:r>
      <w:r w:rsidR="006F626A" w:rsidRPr="00074183">
        <w:t>,</w:t>
      </w:r>
      <w:r w:rsidRPr="00074183">
        <w:t xml:space="preserve"> nationally normed literacy assessments</w:t>
      </w:r>
      <w:r w:rsidR="00EA716D" w:rsidRPr="00074183">
        <w:t>,</w:t>
      </w:r>
      <w:r w:rsidRPr="00074183">
        <w:t xml:space="preserve"> </w:t>
      </w:r>
      <w:r w:rsidR="006F626A" w:rsidRPr="00074183">
        <w:t>reported</w:t>
      </w:r>
      <w:r w:rsidRPr="00074183">
        <w:t xml:space="preserve"> </w:t>
      </w:r>
      <w:r w:rsidR="00030E2E" w:rsidRPr="00074183">
        <w:t xml:space="preserve">a 95% confidence interval for </w:t>
      </w:r>
      <w:r w:rsidRPr="00074183">
        <w:t>beginning to end of 7</w:t>
      </w:r>
      <w:r w:rsidRPr="00074183">
        <w:rPr>
          <w:vertAlign w:val="superscript"/>
        </w:rPr>
        <w:t>th</w:t>
      </w:r>
      <w:r w:rsidRPr="00074183">
        <w:t xml:space="preserve"> grade school year</w:t>
      </w:r>
      <w:r w:rsidR="0066262C">
        <w:t xml:space="preserve"> </w:t>
      </w:r>
      <w:r w:rsidRPr="00074183">
        <w:t>achievement gains of 9 to 11 percentiles</w:t>
      </w:r>
      <w:r w:rsidR="0066262C">
        <w:t>, and 6 to 13 percentile points for 8</w:t>
      </w:r>
      <w:r w:rsidR="0066262C" w:rsidRPr="0066262C">
        <w:rPr>
          <w:vertAlign w:val="superscript"/>
        </w:rPr>
        <w:t>th</w:t>
      </w:r>
      <w:r w:rsidR="0066262C">
        <w:t xml:space="preserve"> grade</w:t>
      </w:r>
      <w:r w:rsidRPr="00074183">
        <w:t>.  The 1</w:t>
      </w:r>
      <w:r w:rsidR="00444457">
        <w:t>4 and 15</w:t>
      </w:r>
      <w:r w:rsidRPr="00074183">
        <w:t xml:space="preserve"> percentile gain</w:t>
      </w:r>
      <w:r w:rsidR="00444457">
        <w:t>s</w:t>
      </w:r>
      <w:r w:rsidRPr="00074183">
        <w:t xml:space="preserve"> seen on the GRADE (note: does not include listening comprehension scale) are large in comparison</w:t>
      </w:r>
      <w:r w:rsidR="0056155F" w:rsidRPr="00074183">
        <w:t xml:space="preserve"> (i.e., see </w:t>
      </w:r>
      <w:r w:rsidR="005B3E0C" w:rsidRPr="00074183">
        <w:t xml:space="preserve">Table </w:t>
      </w:r>
      <w:r w:rsidR="00504D19">
        <w:t>7</w:t>
      </w:r>
      <w:r w:rsidR="0056155F" w:rsidRPr="00074183">
        <w:t>).</w:t>
      </w:r>
    </w:p>
    <w:p w14:paraId="03823FD4" w14:textId="2232F23D" w:rsidR="00074183" w:rsidRDefault="00074183" w:rsidP="00AF4BA2">
      <w:pPr>
        <w:rPr>
          <w:color w:val="000000"/>
        </w:rPr>
      </w:pPr>
    </w:p>
    <w:p w14:paraId="1783C3F6" w14:textId="77777777" w:rsidR="00444457" w:rsidRDefault="00444457" w:rsidP="00AF4BA2">
      <w:pPr>
        <w:rPr>
          <w:color w:val="000000"/>
        </w:rPr>
      </w:pPr>
    </w:p>
    <w:tbl>
      <w:tblPr>
        <w:tblW w:w="9090" w:type="dxa"/>
        <w:jc w:val="center"/>
        <w:tblLook w:val="0000" w:firstRow="0" w:lastRow="0" w:firstColumn="0" w:lastColumn="0" w:noHBand="0" w:noVBand="0"/>
      </w:tblPr>
      <w:tblGrid>
        <w:gridCol w:w="2927"/>
        <w:gridCol w:w="1483"/>
        <w:gridCol w:w="1530"/>
        <w:gridCol w:w="1530"/>
        <w:gridCol w:w="1620"/>
      </w:tblGrid>
      <w:tr w:rsidR="00AF4BA2" w14:paraId="1C5A4BB3" w14:textId="77777777" w:rsidTr="00970EE2">
        <w:trPr>
          <w:trHeight w:val="440"/>
          <w:jc w:val="center"/>
        </w:trPr>
        <w:tc>
          <w:tcPr>
            <w:tcW w:w="2927" w:type="dxa"/>
            <w:shd w:val="clear" w:color="auto" w:fill="548DD4"/>
          </w:tcPr>
          <w:p w14:paraId="36D7605D" w14:textId="12F5CB82" w:rsidR="00AF4BA2" w:rsidRPr="00504D19" w:rsidRDefault="00AF4BA2" w:rsidP="00970EE2">
            <w:pPr>
              <w:spacing w:before="37" w:after="37"/>
              <w:rPr>
                <w:color w:val="000000" w:themeColor="text1"/>
              </w:rPr>
            </w:pPr>
            <w:r w:rsidRPr="00504D19">
              <w:rPr>
                <w:color w:val="000000" w:themeColor="text1"/>
              </w:rPr>
              <w:t xml:space="preserve">Table </w:t>
            </w:r>
            <w:r w:rsidR="00504D19" w:rsidRPr="00504D19">
              <w:rPr>
                <w:color w:val="000000" w:themeColor="text1"/>
              </w:rPr>
              <w:t>7</w:t>
            </w:r>
          </w:p>
        </w:tc>
        <w:tc>
          <w:tcPr>
            <w:tcW w:w="6163" w:type="dxa"/>
            <w:gridSpan w:val="4"/>
            <w:shd w:val="clear" w:color="auto" w:fill="548DD4"/>
          </w:tcPr>
          <w:p w14:paraId="7F989A09" w14:textId="77777777" w:rsidR="00AF4BA2" w:rsidRPr="00507385" w:rsidRDefault="00AF4BA2" w:rsidP="00970EE2">
            <w:pPr>
              <w:spacing w:before="37" w:after="37"/>
            </w:pPr>
            <w:r w:rsidRPr="00507385">
              <w:rPr>
                <w:color w:val="000000"/>
              </w:rPr>
              <w:t>iLit Group Gain and Effect Sizes</w:t>
            </w:r>
          </w:p>
        </w:tc>
      </w:tr>
      <w:tr w:rsidR="00AF4BA2" w:rsidRPr="00904452" w14:paraId="094817BB" w14:textId="77777777" w:rsidTr="00970EE2">
        <w:trPr>
          <w:trHeight w:val="775"/>
          <w:jc w:val="center"/>
        </w:trPr>
        <w:tc>
          <w:tcPr>
            <w:tcW w:w="2927" w:type="dxa"/>
            <w:tcBorders>
              <w:top w:val="single" w:sz="4" w:space="0" w:color="FFFFFF"/>
              <w:left w:val="single" w:sz="4" w:space="0" w:color="FFFFFF"/>
            </w:tcBorders>
            <w:shd w:val="clear" w:color="auto" w:fill="548DD4"/>
            <w:vAlign w:val="center"/>
          </w:tcPr>
          <w:p w14:paraId="4F16D264" w14:textId="77777777" w:rsidR="00AF4BA2" w:rsidRPr="00F43016" w:rsidRDefault="00AF4BA2" w:rsidP="00970EE2">
            <w:pPr>
              <w:spacing w:before="37" w:after="37"/>
              <w:jc w:val="center"/>
            </w:pPr>
            <w:r>
              <w:t xml:space="preserve">GRADE Level M </w:t>
            </w:r>
            <w:r w:rsidRPr="00F43016">
              <w:t>S</w:t>
            </w:r>
            <w:r>
              <w:t>cale</w:t>
            </w:r>
          </w:p>
        </w:tc>
        <w:tc>
          <w:tcPr>
            <w:tcW w:w="1483" w:type="dxa"/>
            <w:tcBorders>
              <w:top w:val="single" w:sz="4" w:space="0" w:color="FFFFFF"/>
            </w:tcBorders>
            <w:shd w:val="clear" w:color="auto" w:fill="548DD4"/>
            <w:vAlign w:val="center"/>
          </w:tcPr>
          <w:p w14:paraId="3992214B" w14:textId="77777777" w:rsidR="00AF4BA2" w:rsidRDefault="00AF4BA2" w:rsidP="00970EE2">
            <w:pPr>
              <w:spacing w:before="37" w:after="37"/>
              <w:jc w:val="center"/>
            </w:pPr>
            <w:r w:rsidRPr="00904452">
              <w:t xml:space="preserve">2013-14 </w:t>
            </w:r>
          </w:p>
          <w:p w14:paraId="3614015B" w14:textId="77777777" w:rsidR="00AF4BA2" w:rsidRPr="00904452" w:rsidRDefault="00AF4BA2" w:rsidP="00970EE2">
            <w:pPr>
              <w:spacing w:before="37" w:after="37"/>
              <w:jc w:val="center"/>
            </w:pPr>
            <w:r w:rsidRPr="00904452">
              <w:t>Gain (SD)</w:t>
            </w:r>
          </w:p>
        </w:tc>
        <w:tc>
          <w:tcPr>
            <w:tcW w:w="1530" w:type="dxa"/>
            <w:tcBorders>
              <w:top w:val="single" w:sz="4" w:space="0" w:color="FFFFFF"/>
            </w:tcBorders>
            <w:shd w:val="clear" w:color="auto" w:fill="548DD4"/>
            <w:vAlign w:val="center"/>
          </w:tcPr>
          <w:p w14:paraId="3884C1FF" w14:textId="77777777" w:rsidR="00AF4BA2" w:rsidRDefault="00AF4BA2" w:rsidP="00970EE2">
            <w:pPr>
              <w:spacing w:before="37" w:after="37"/>
              <w:jc w:val="center"/>
            </w:pPr>
            <w:r>
              <w:t xml:space="preserve">2013-14 </w:t>
            </w:r>
          </w:p>
          <w:p w14:paraId="5813277B" w14:textId="77777777" w:rsidR="00AF4BA2" w:rsidRPr="00904452" w:rsidRDefault="00AF4BA2" w:rsidP="00970EE2">
            <w:pPr>
              <w:spacing w:before="37" w:after="37"/>
              <w:jc w:val="center"/>
            </w:pPr>
            <w:r>
              <w:t>Effect Size</w:t>
            </w:r>
          </w:p>
        </w:tc>
        <w:tc>
          <w:tcPr>
            <w:tcW w:w="1530" w:type="dxa"/>
            <w:tcBorders>
              <w:top w:val="single" w:sz="4" w:space="0" w:color="FFFFFF"/>
            </w:tcBorders>
            <w:shd w:val="clear" w:color="auto" w:fill="548DD4"/>
            <w:vAlign w:val="center"/>
          </w:tcPr>
          <w:p w14:paraId="71DE7D56" w14:textId="77777777" w:rsidR="00AF4BA2" w:rsidRPr="00904452" w:rsidRDefault="00AF4BA2" w:rsidP="00970EE2">
            <w:pPr>
              <w:spacing w:before="37" w:after="37"/>
              <w:jc w:val="center"/>
            </w:pPr>
            <w:r>
              <w:t xml:space="preserve">2014-15 </w:t>
            </w:r>
            <w:r w:rsidRPr="00904452">
              <w:t>Gain (SD)</w:t>
            </w:r>
          </w:p>
        </w:tc>
        <w:tc>
          <w:tcPr>
            <w:tcW w:w="1620" w:type="dxa"/>
            <w:tcBorders>
              <w:top w:val="single" w:sz="4" w:space="0" w:color="FFFFFF"/>
              <w:left w:val="nil"/>
              <w:right w:val="single" w:sz="4" w:space="0" w:color="FFFFFF"/>
            </w:tcBorders>
            <w:shd w:val="clear" w:color="auto" w:fill="548DD4"/>
            <w:vAlign w:val="center"/>
          </w:tcPr>
          <w:p w14:paraId="7F7B3C68" w14:textId="77777777" w:rsidR="00AF4BA2" w:rsidRDefault="00AF4BA2" w:rsidP="00970EE2">
            <w:pPr>
              <w:spacing w:before="37" w:after="37"/>
              <w:jc w:val="center"/>
            </w:pPr>
            <w:r>
              <w:t xml:space="preserve">2014-15 </w:t>
            </w:r>
          </w:p>
          <w:p w14:paraId="35C95ED6" w14:textId="77777777" w:rsidR="00AF4BA2" w:rsidRPr="00904452" w:rsidRDefault="00AF4BA2" w:rsidP="00970EE2">
            <w:pPr>
              <w:spacing w:before="37" w:after="37"/>
              <w:jc w:val="center"/>
            </w:pPr>
            <w:r w:rsidRPr="00904452">
              <w:t>Effect Size</w:t>
            </w:r>
          </w:p>
        </w:tc>
      </w:tr>
      <w:tr w:rsidR="00AF4BA2" w:rsidRPr="00904452" w14:paraId="6D345C76" w14:textId="77777777" w:rsidTr="00970EE2">
        <w:trPr>
          <w:trHeight w:val="285"/>
          <w:jc w:val="center"/>
        </w:trPr>
        <w:tc>
          <w:tcPr>
            <w:tcW w:w="2927" w:type="dxa"/>
            <w:tcBorders>
              <w:bottom w:val="single" w:sz="4" w:space="0" w:color="FFFFFF"/>
            </w:tcBorders>
            <w:shd w:val="clear" w:color="auto" w:fill="DBE5F1"/>
          </w:tcPr>
          <w:p w14:paraId="2DC30833" w14:textId="77777777" w:rsidR="00AF4BA2" w:rsidRPr="00F43016" w:rsidRDefault="00AF4BA2" w:rsidP="00970EE2">
            <w:pPr>
              <w:spacing w:before="37" w:after="37"/>
            </w:pPr>
            <w:r>
              <w:t>GR</w:t>
            </w:r>
            <w:r w:rsidRPr="00F43016">
              <w:t>ADE Total</w:t>
            </w:r>
          </w:p>
        </w:tc>
        <w:tc>
          <w:tcPr>
            <w:tcW w:w="1483" w:type="dxa"/>
            <w:tcBorders>
              <w:bottom w:val="single" w:sz="4" w:space="0" w:color="FFFFFF"/>
            </w:tcBorders>
            <w:shd w:val="clear" w:color="auto" w:fill="DBE5F1"/>
          </w:tcPr>
          <w:p w14:paraId="2E1E46E6" w14:textId="77777777" w:rsidR="00AF4BA2" w:rsidRPr="00904452" w:rsidRDefault="00AF4BA2" w:rsidP="00970EE2">
            <w:pPr>
              <w:spacing w:before="37" w:after="37"/>
              <w:jc w:val="center"/>
            </w:pPr>
            <w:r>
              <w:t>3.05</w:t>
            </w:r>
            <w:r w:rsidRPr="00904452">
              <w:t xml:space="preserve"> (</w:t>
            </w:r>
            <w:r>
              <w:t>8.33</w:t>
            </w:r>
            <w:r w:rsidRPr="00904452">
              <w:t>)</w:t>
            </w:r>
          </w:p>
        </w:tc>
        <w:tc>
          <w:tcPr>
            <w:tcW w:w="1530" w:type="dxa"/>
            <w:tcBorders>
              <w:bottom w:val="single" w:sz="4" w:space="0" w:color="FFFFFF"/>
            </w:tcBorders>
            <w:shd w:val="clear" w:color="auto" w:fill="DBE5F1"/>
          </w:tcPr>
          <w:p w14:paraId="5A92AC23" w14:textId="77777777" w:rsidR="00AF4BA2" w:rsidRPr="00D05405" w:rsidRDefault="00AF4BA2" w:rsidP="00970EE2">
            <w:pPr>
              <w:spacing w:before="37" w:after="37"/>
              <w:jc w:val="center"/>
              <w:rPr>
                <w:highlight w:val="green"/>
              </w:rPr>
            </w:pPr>
            <w:r w:rsidRPr="00D05405">
              <w:rPr>
                <w:highlight w:val="green"/>
              </w:rPr>
              <w:t>0.37 (14%)</w:t>
            </w:r>
          </w:p>
        </w:tc>
        <w:tc>
          <w:tcPr>
            <w:tcW w:w="1530" w:type="dxa"/>
            <w:tcBorders>
              <w:bottom w:val="single" w:sz="4" w:space="0" w:color="FFFFFF"/>
            </w:tcBorders>
            <w:shd w:val="clear" w:color="auto" w:fill="DBE5F1"/>
          </w:tcPr>
          <w:p w14:paraId="47E2989A" w14:textId="77777777" w:rsidR="00AF4BA2" w:rsidRPr="00904452" w:rsidRDefault="00AF4BA2" w:rsidP="00970EE2">
            <w:pPr>
              <w:spacing w:before="37" w:after="37"/>
              <w:jc w:val="center"/>
            </w:pPr>
            <w:r>
              <w:t>3.72 (9.89</w:t>
            </w:r>
            <w:r w:rsidRPr="00904452">
              <w:t>)</w:t>
            </w:r>
          </w:p>
        </w:tc>
        <w:tc>
          <w:tcPr>
            <w:tcW w:w="1620" w:type="dxa"/>
            <w:tcBorders>
              <w:bottom w:val="single" w:sz="4" w:space="0" w:color="FFFFFF"/>
            </w:tcBorders>
            <w:shd w:val="clear" w:color="auto" w:fill="DBE5F1"/>
          </w:tcPr>
          <w:p w14:paraId="5B051646" w14:textId="77777777" w:rsidR="00AF4BA2" w:rsidRPr="00D05405" w:rsidRDefault="00AF4BA2" w:rsidP="00970EE2">
            <w:pPr>
              <w:spacing w:before="37" w:after="37"/>
              <w:jc w:val="center"/>
              <w:rPr>
                <w:highlight w:val="green"/>
              </w:rPr>
            </w:pPr>
            <w:r w:rsidRPr="00D05405">
              <w:rPr>
                <w:highlight w:val="green"/>
              </w:rPr>
              <w:t>0.38 (15%)</w:t>
            </w:r>
          </w:p>
        </w:tc>
      </w:tr>
      <w:tr w:rsidR="00AF4BA2" w:rsidRPr="00904452" w14:paraId="591A298C" w14:textId="77777777" w:rsidTr="00970EE2">
        <w:trPr>
          <w:trHeight w:val="270"/>
          <w:jc w:val="center"/>
        </w:trPr>
        <w:tc>
          <w:tcPr>
            <w:tcW w:w="2927" w:type="dxa"/>
            <w:tcBorders>
              <w:bottom w:val="single" w:sz="4" w:space="0" w:color="FFFFFF"/>
            </w:tcBorders>
            <w:shd w:val="clear" w:color="auto" w:fill="DBE5F1"/>
          </w:tcPr>
          <w:p w14:paraId="0CCBFD54" w14:textId="77777777" w:rsidR="00AF4BA2" w:rsidRPr="0069250D" w:rsidRDefault="00AF4BA2" w:rsidP="00970EE2">
            <w:pPr>
              <w:spacing w:before="37" w:after="37"/>
              <w:rPr>
                <w:highlight w:val="yellow"/>
              </w:rPr>
            </w:pPr>
            <w:r>
              <w:t>Vocabulary</w:t>
            </w:r>
          </w:p>
        </w:tc>
        <w:tc>
          <w:tcPr>
            <w:tcW w:w="1483" w:type="dxa"/>
            <w:tcBorders>
              <w:bottom w:val="single" w:sz="4" w:space="0" w:color="FFFFFF"/>
            </w:tcBorders>
            <w:shd w:val="clear" w:color="auto" w:fill="DBE5F1"/>
          </w:tcPr>
          <w:p w14:paraId="08C226B5" w14:textId="77777777" w:rsidR="00AF4BA2" w:rsidRPr="00904452" w:rsidRDefault="00AF4BA2" w:rsidP="00970EE2">
            <w:pPr>
              <w:spacing w:before="37" w:after="37"/>
              <w:jc w:val="center"/>
              <w:rPr>
                <w:highlight w:val="yellow"/>
              </w:rPr>
            </w:pPr>
            <w:r>
              <w:t>1.57</w:t>
            </w:r>
            <w:r w:rsidRPr="00904452">
              <w:t xml:space="preserve"> (</w:t>
            </w:r>
            <w:r>
              <w:t>4.42</w:t>
            </w:r>
            <w:r w:rsidRPr="00904452">
              <w:t>)</w:t>
            </w:r>
          </w:p>
        </w:tc>
        <w:tc>
          <w:tcPr>
            <w:tcW w:w="1530" w:type="dxa"/>
            <w:tcBorders>
              <w:bottom w:val="single" w:sz="4" w:space="0" w:color="FFFFFF"/>
            </w:tcBorders>
            <w:shd w:val="clear" w:color="auto" w:fill="DBE5F1"/>
          </w:tcPr>
          <w:p w14:paraId="1B53A128" w14:textId="77777777" w:rsidR="00AF4BA2" w:rsidRPr="00D05405" w:rsidRDefault="00AF4BA2" w:rsidP="00970EE2">
            <w:pPr>
              <w:spacing w:before="37" w:after="37"/>
              <w:jc w:val="center"/>
              <w:rPr>
                <w:highlight w:val="green"/>
              </w:rPr>
            </w:pPr>
            <w:r w:rsidRPr="00D05405">
              <w:rPr>
                <w:highlight w:val="green"/>
              </w:rPr>
              <w:t>0.36 (14%)</w:t>
            </w:r>
          </w:p>
        </w:tc>
        <w:tc>
          <w:tcPr>
            <w:tcW w:w="1530" w:type="dxa"/>
            <w:tcBorders>
              <w:bottom w:val="single" w:sz="4" w:space="0" w:color="FFFFFF"/>
            </w:tcBorders>
            <w:shd w:val="clear" w:color="auto" w:fill="DBE5F1"/>
          </w:tcPr>
          <w:p w14:paraId="725A463B" w14:textId="77777777" w:rsidR="00AF4BA2" w:rsidRPr="00904452" w:rsidRDefault="00AF4BA2" w:rsidP="00970EE2">
            <w:pPr>
              <w:spacing w:before="37" w:after="37"/>
              <w:jc w:val="center"/>
              <w:rPr>
                <w:highlight w:val="yellow"/>
              </w:rPr>
            </w:pPr>
            <w:r>
              <w:t>1.74</w:t>
            </w:r>
            <w:r w:rsidRPr="00904452">
              <w:t xml:space="preserve"> (</w:t>
            </w:r>
            <w:r>
              <w:t>4.01</w:t>
            </w:r>
            <w:r w:rsidRPr="00904452">
              <w:t>)</w:t>
            </w:r>
          </w:p>
        </w:tc>
        <w:tc>
          <w:tcPr>
            <w:tcW w:w="1620" w:type="dxa"/>
            <w:tcBorders>
              <w:bottom w:val="single" w:sz="4" w:space="0" w:color="FFFFFF"/>
            </w:tcBorders>
            <w:shd w:val="clear" w:color="auto" w:fill="DBE5F1"/>
          </w:tcPr>
          <w:p w14:paraId="0C454950" w14:textId="77777777" w:rsidR="00AF4BA2" w:rsidRPr="00D05405" w:rsidRDefault="00AF4BA2" w:rsidP="00970EE2">
            <w:pPr>
              <w:spacing w:before="37" w:after="37"/>
              <w:jc w:val="center"/>
              <w:rPr>
                <w:highlight w:val="green"/>
              </w:rPr>
            </w:pPr>
            <w:r w:rsidRPr="00D05405">
              <w:rPr>
                <w:highlight w:val="green"/>
              </w:rPr>
              <w:t>0.43(17%)</w:t>
            </w:r>
          </w:p>
        </w:tc>
      </w:tr>
      <w:tr w:rsidR="00AF4BA2" w:rsidRPr="00904452" w14:paraId="069C4A03" w14:textId="77777777" w:rsidTr="00970EE2">
        <w:trPr>
          <w:trHeight w:val="300"/>
          <w:jc w:val="center"/>
        </w:trPr>
        <w:tc>
          <w:tcPr>
            <w:tcW w:w="2927" w:type="dxa"/>
            <w:tcBorders>
              <w:bottom w:val="single" w:sz="4" w:space="0" w:color="FFFFFF"/>
            </w:tcBorders>
            <w:shd w:val="clear" w:color="auto" w:fill="DBE5F1"/>
          </w:tcPr>
          <w:p w14:paraId="5BB8D57F" w14:textId="77777777" w:rsidR="00AF4BA2" w:rsidRPr="0069250D" w:rsidRDefault="00AF4BA2" w:rsidP="00970EE2">
            <w:pPr>
              <w:spacing w:before="37" w:after="37"/>
              <w:rPr>
                <w:highlight w:val="yellow"/>
              </w:rPr>
            </w:pPr>
            <w:r w:rsidRPr="00CF29D5">
              <w:t>Sentence Comprehension</w:t>
            </w:r>
          </w:p>
        </w:tc>
        <w:tc>
          <w:tcPr>
            <w:tcW w:w="1483" w:type="dxa"/>
            <w:tcBorders>
              <w:bottom w:val="single" w:sz="4" w:space="0" w:color="FFFFFF"/>
            </w:tcBorders>
            <w:shd w:val="clear" w:color="auto" w:fill="DBE5F1"/>
          </w:tcPr>
          <w:p w14:paraId="5CE349B8" w14:textId="77777777" w:rsidR="00AF4BA2" w:rsidRPr="00904452" w:rsidRDefault="00AF4BA2" w:rsidP="00970EE2">
            <w:pPr>
              <w:spacing w:before="37" w:after="37"/>
              <w:jc w:val="center"/>
              <w:rPr>
                <w:highlight w:val="yellow"/>
              </w:rPr>
            </w:pPr>
            <w:r>
              <w:t>0.81</w:t>
            </w:r>
            <w:r w:rsidRPr="00904452">
              <w:t xml:space="preserve"> (</w:t>
            </w:r>
            <w:r>
              <w:t>3.11</w:t>
            </w:r>
            <w:r w:rsidRPr="00904452">
              <w:t>)</w:t>
            </w:r>
          </w:p>
        </w:tc>
        <w:tc>
          <w:tcPr>
            <w:tcW w:w="1530" w:type="dxa"/>
            <w:tcBorders>
              <w:bottom w:val="single" w:sz="4" w:space="0" w:color="FFFFFF"/>
            </w:tcBorders>
            <w:shd w:val="clear" w:color="auto" w:fill="DBE5F1"/>
          </w:tcPr>
          <w:p w14:paraId="168FF6DB" w14:textId="77777777" w:rsidR="00AF4BA2" w:rsidRPr="00D05405" w:rsidRDefault="00AF4BA2" w:rsidP="00970EE2">
            <w:pPr>
              <w:spacing w:before="37" w:after="37"/>
              <w:jc w:val="center"/>
              <w:rPr>
                <w:highlight w:val="green"/>
              </w:rPr>
            </w:pPr>
            <w:r w:rsidRPr="00D05405">
              <w:rPr>
                <w:highlight w:val="green"/>
              </w:rPr>
              <w:t>0.26 (10%)</w:t>
            </w:r>
          </w:p>
        </w:tc>
        <w:tc>
          <w:tcPr>
            <w:tcW w:w="1530" w:type="dxa"/>
            <w:tcBorders>
              <w:bottom w:val="single" w:sz="4" w:space="0" w:color="FFFFFF"/>
            </w:tcBorders>
            <w:shd w:val="clear" w:color="auto" w:fill="DBE5F1"/>
          </w:tcPr>
          <w:p w14:paraId="2BFDEF53" w14:textId="77777777" w:rsidR="00AF4BA2" w:rsidRPr="00904452" w:rsidRDefault="00AF4BA2" w:rsidP="00970EE2">
            <w:pPr>
              <w:spacing w:before="37" w:after="37"/>
              <w:jc w:val="center"/>
              <w:rPr>
                <w:highlight w:val="yellow"/>
              </w:rPr>
            </w:pPr>
            <w:r>
              <w:t>1.47</w:t>
            </w:r>
            <w:r w:rsidRPr="00904452">
              <w:t xml:space="preserve"> (</w:t>
            </w:r>
            <w:r>
              <w:t>3.93</w:t>
            </w:r>
            <w:r w:rsidRPr="00904452">
              <w:t>)</w:t>
            </w:r>
          </w:p>
        </w:tc>
        <w:tc>
          <w:tcPr>
            <w:tcW w:w="1620" w:type="dxa"/>
            <w:tcBorders>
              <w:bottom w:val="single" w:sz="4" w:space="0" w:color="FFFFFF"/>
            </w:tcBorders>
            <w:shd w:val="clear" w:color="auto" w:fill="DBE5F1"/>
          </w:tcPr>
          <w:p w14:paraId="47D30CBB" w14:textId="77777777" w:rsidR="00AF4BA2" w:rsidRPr="00D05405" w:rsidRDefault="00AF4BA2" w:rsidP="00970EE2">
            <w:pPr>
              <w:spacing w:before="37" w:after="37"/>
              <w:jc w:val="center"/>
              <w:rPr>
                <w:highlight w:val="green"/>
              </w:rPr>
            </w:pPr>
            <w:r w:rsidRPr="00D05405">
              <w:rPr>
                <w:highlight w:val="green"/>
              </w:rPr>
              <w:t>0.37 (15%)</w:t>
            </w:r>
          </w:p>
        </w:tc>
      </w:tr>
      <w:tr w:rsidR="00AF4BA2" w:rsidRPr="00904452" w14:paraId="70EA5BED" w14:textId="77777777" w:rsidTr="00970EE2">
        <w:trPr>
          <w:trHeight w:val="300"/>
          <w:jc w:val="center"/>
        </w:trPr>
        <w:tc>
          <w:tcPr>
            <w:tcW w:w="2927" w:type="dxa"/>
            <w:tcBorders>
              <w:bottom w:val="single" w:sz="4" w:space="0" w:color="FFFFFF"/>
            </w:tcBorders>
            <w:shd w:val="clear" w:color="auto" w:fill="DBE5F1"/>
          </w:tcPr>
          <w:p w14:paraId="34D01408" w14:textId="77777777" w:rsidR="00AF4BA2" w:rsidRPr="0069250D" w:rsidRDefault="00AF4BA2" w:rsidP="00970EE2">
            <w:pPr>
              <w:spacing w:before="37" w:after="37"/>
              <w:rPr>
                <w:highlight w:val="yellow"/>
              </w:rPr>
            </w:pPr>
            <w:r>
              <w:t>Listening</w:t>
            </w:r>
            <w:r w:rsidRPr="00CF29D5">
              <w:t xml:space="preserve"> Comprehension</w:t>
            </w:r>
          </w:p>
        </w:tc>
        <w:tc>
          <w:tcPr>
            <w:tcW w:w="1483" w:type="dxa"/>
            <w:tcBorders>
              <w:bottom w:val="single" w:sz="4" w:space="0" w:color="FFFFFF"/>
            </w:tcBorders>
            <w:shd w:val="clear" w:color="auto" w:fill="DBE5F1"/>
          </w:tcPr>
          <w:p w14:paraId="2D9D4090" w14:textId="77777777" w:rsidR="00AF4BA2" w:rsidRPr="00904452" w:rsidRDefault="00AF4BA2" w:rsidP="00970EE2">
            <w:pPr>
              <w:spacing w:before="37" w:after="37"/>
              <w:jc w:val="center"/>
              <w:rPr>
                <w:highlight w:val="yellow"/>
              </w:rPr>
            </w:pPr>
            <w:r>
              <w:t>1.74</w:t>
            </w:r>
            <w:r w:rsidRPr="00904452">
              <w:t xml:space="preserve"> (</w:t>
            </w:r>
            <w:r>
              <w:t>2.50</w:t>
            </w:r>
            <w:r w:rsidRPr="00904452">
              <w:t>)</w:t>
            </w:r>
          </w:p>
        </w:tc>
        <w:tc>
          <w:tcPr>
            <w:tcW w:w="1530" w:type="dxa"/>
            <w:tcBorders>
              <w:bottom w:val="single" w:sz="4" w:space="0" w:color="FFFFFF"/>
            </w:tcBorders>
            <w:shd w:val="clear" w:color="auto" w:fill="DBE5F1"/>
          </w:tcPr>
          <w:p w14:paraId="04C29CFF" w14:textId="77777777" w:rsidR="00AF4BA2" w:rsidRPr="00D05405" w:rsidRDefault="00AF4BA2" w:rsidP="00970EE2">
            <w:pPr>
              <w:spacing w:before="37" w:after="37"/>
              <w:jc w:val="center"/>
              <w:rPr>
                <w:highlight w:val="green"/>
              </w:rPr>
            </w:pPr>
            <w:r w:rsidRPr="00D05405">
              <w:rPr>
                <w:highlight w:val="green"/>
              </w:rPr>
              <w:t>0.70 (26%)</w:t>
            </w:r>
          </w:p>
        </w:tc>
        <w:tc>
          <w:tcPr>
            <w:tcW w:w="1530" w:type="dxa"/>
            <w:tcBorders>
              <w:bottom w:val="single" w:sz="4" w:space="0" w:color="FFFFFF"/>
            </w:tcBorders>
            <w:shd w:val="clear" w:color="auto" w:fill="DBE5F1"/>
          </w:tcPr>
          <w:p w14:paraId="390D9D75" w14:textId="77777777" w:rsidR="00AF4BA2" w:rsidRPr="00904452" w:rsidRDefault="00AF4BA2" w:rsidP="00970EE2">
            <w:pPr>
              <w:spacing w:before="37" w:after="37"/>
              <w:jc w:val="center"/>
              <w:rPr>
                <w:highlight w:val="yellow"/>
              </w:rPr>
            </w:pPr>
            <w:r>
              <w:t>1.21</w:t>
            </w:r>
            <w:r w:rsidRPr="00904452">
              <w:t xml:space="preserve"> (</w:t>
            </w:r>
            <w:r>
              <w:t>2.41</w:t>
            </w:r>
            <w:r w:rsidRPr="00904452">
              <w:t>)</w:t>
            </w:r>
          </w:p>
        </w:tc>
        <w:tc>
          <w:tcPr>
            <w:tcW w:w="1620" w:type="dxa"/>
            <w:tcBorders>
              <w:bottom w:val="single" w:sz="4" w:space="0" w:color="FFFFFF"/>
            </w:tcBorders>
            <w:shd w:val="clear" w:color="auto" w:fill="DBE5F1"/>
          </w:tcPr>
          <w:p w14:paraId="5A5E5B88" w14:textId="77777777" w:rsidR="00AF4BA2" w:rsidRPr="00D05405" w:rsidRDefault="00AF4BA2" w:rsidP="00970EE2">
            <w:pPr>
              <w:spacing w:before="37" w:after="37"/>
              <w:jc w:val="center"/>
              <w:rPr>
                <w:highlight w:val="green"/>
              </w:rPr>
            </w:pPr>
            <w:r w:rsidRPr="00D05405">
              <w:rPr>
                <w:highlight w:val="green"/>
              </w:rPr>
              <w:t>0.50 (19%)</w:t>
            </w:r>
          </w:p>
        </w:tc>
      </w:tr>
      <w:tr w:rsidR="00AF4BA2" w:rsidRPr="00904452" w14:paraId="5A254B96" w14:textId="77777777" w:rsidTr="00970EE2">
        <w:trPr>
          <w:trHeight w:val="300"/>
          <w:jc w:val="center"/>
        </w:trPr>
        <w:tc>
          <w:tcPr>
            <w:tcW w:w="2927" w:type="dxa"/>
            <w:tcBorders>
              <w:bottom w:val="single" w:sz="4" w:space="0" w:color="FFFFFF"/>
            </w:tcBorders>
            <w:shd w:val="clear" w:color="auto" w:fill="DBE5F1"/>
          </w:tcPr>
          <w:p w14:paraId="69D58609" w14:textId="77777777" w:rsidR="00AF4BA2" w:rsidRPr="0069250D" w:rsidRDefault="00AF4BA2" w:rsidP="00970EE2">
            <w:pPr>
              <w:spacing w:before="37" w:after="37"/>
              <w:rPr>
                <w:highlight w:val="yellow"/>
              </w:rPr>
            </w:pPr>
            <w:r>
              <w:t>Passage</w:t>
            </w:r>
            <w:r w:rsidRPr="00CF29D5">
              <w:t xml:space="preserve"> Comprehension</w:t>
            </w:r>
          </w:p>
        </w:tc>
        <w:tc>
          <w:tcPr>
            <w:tcW w:w="1483" w:type="dxa"/>
            <w:tcBorders>
              <w:bottom w:val="single" w:sz="4" w:space="0" w:color="FFFFFF"/>
            </w:tcBorders>
            <w:shd w:val="clear" w:color="auto" w:fill="DBE5F1"/>
          </w:tcPr>
          <w:p w14:paraId="3F83F9AF" w14:textId="77777777" w:rsidR="00AF4BA2" w:rsidRPr="00904452" w:rsidRDefault="00AF4BA2" w:rsidP="00970EE2">
            <w:pPr>
              <w:spacing w:before="37" w:after="37"/>
              <w:jc w:val="center"/>
              <w:rPr>
                <w:highlight w:val="yellow"/>
              </w:rPr>
            </w:pPr>
            <w:r>
              <w:t>0.60</w:t>
            </w:r>
            <w:r w:rsidRPr="00904452">
              <w:t xml:space="preserve"> (</w:t>
            </w:r>
            <w:r>
              <w:t>4.82</w:t>
            </w:r>
            <w:r w:rsidRPr="00904452">
              <w:t>)</w:t>
            </w:r>
          </w:p>
        </w:tc>
        <w:tc>
          <w:tcPr>
            <w:tcW w:w="1530" w:type="dxa"/>
            <w:tcBorders>
              <w:bottom w:val="single" w:sz="4" w:space="0" w:color="FFFFFF"/>
            </w:tcBorders>
            <w:shd w:val="clear" w:color="auto" w:fill="DBE5F1"/>
          </w:tcPr>
          <w:p w14:paraId="450E966D" w14:textId="77777777" w:rsidR="00AF4BA2" w:rsidRPr="00D05405" w:rsidRDefault="00AF4BA2" w:rsidP="00970EE2">
            <w:pPr>
              <w:spacing w:before="37" w:after="37"/>
              <w:jc w:val="center"/>
              <w:rPr>
                <w:highlight w:val="green"/>
              </w:rPr>
            </w:pPr>
            <w:r w:rsidRPr="00D05405">
              <w:rPr>
                <w:highlight w:val="green"/>
              </w:rPr>
              <w:t>0.12 (5%)</w:t>
            </w:r>
          </w:p>
        </w:tc>
        <w:tc>
          <w:tcPr>
            <w:tcW w:w="1530" w:type="dxa"/>
            <w:tcBorders>
              <w:bottom w:val="single" w:sz="4" w:space="0" w:color="FFFFFF"/>
            </w:tcBorders>
            <w:shd w:val="clear" w:color="auto" w:fill="DBE5F1"/>
          </w:tcPr>
          <w:p w14:paraId="5BADA3FF" w14:textId="77777777" w:rsidR="00AF4BA2" w:rsidRPr="00904452" w:rsidRDefault="00AF4BA2" w:rsidP="00970EE2">
            <w:pPr>
              <w:spacing w:before="37" w:after="37"/>
              <w:jc w:val="center"/>
              <w:rPr>
                <w:highlight w:val="yellow"/>
              </w:rPr>
            </w:pPr>
            <w:r>
              <w:t>0.66</w:t>
            </w:r>
            <w:r w:rsidRPr="00904452">
              <w:t xml:space="preserve"> (</w:t>
            </w:r>
            <w:r>
              <w:t>5.61</w:t>
            </w:r>
            <w:r w:rsidRPr="00904452">
              <w:t>)</w:t>
            </w:r>
          </w:p>
        </w:tc>
        <w:tc>
          <w:tcPr>
            <w:tcW w:w="1620" w:type="dxa"/>
            <w:tcBorders>
              <w:bottom w:val="single" w:sz="4" w:space="0" w:color="FFFFFF"/>
            </w:tcBorders>
            <w:shd w:val="clear" w:color="auto" w:fill="DBE5F1"/>
          </w:tcPr>
          <w:p w14:paraId="2F7943A8" w14:textId="77777777" w:rsidR="00AF4BA2" w:rsidRPr="00D05405" w:rsidRDefault="00AF4BA2" w:rsidP="00970EE2">
            <w:pPr>
              <w:spacing w:before="37" w:after="37"/>
              <w:jc w:val="center"/>
              <w:rPr>
                <w:highlight w:val="green"/>
              </w:rPr>
            </w:pPr>
            <w:r w:rsidRPr="00D05405">
              <w:rPr>
                <w:highlight w:val="green"/>
              </w:rPr>
              <w:t>0.12 (5%)</w:t>
            </w:r>
          </w:p>
        </w:tc>
      </w:tr>
      <w:tr w:rsidR="00AF4BA2" w:rsidRPr="00904452" w14:paraId="7ED51D34" w14:textId="77777777" w:rsidTr="00970EE2">
        <w:trPr>
          <w:trHeight w:val="210"/>
          <w:jc w:val="center"/>
        </w:trPr>
        <w:tc>
          <w:tcPr>
            <w:tcW w:w="2927" w:type="dxa"/>
            <w:tcBorders>
              <w:bottom w:val="single" w:sz="4" w:space="0" w:color="FFFFFF"/>
            </w:tcBorders>
            <w:shd w:val="clear" w:color="auto" w:fill="DBE5F1"/>
          </w:tcPr>
          <w:p w14:paraId="63D1A53D" w14:textId="77777777" w:rsidR="00AF4BA2" w:rsidRPr="0069250D" w:rsidRDefault="00AF4BA2" w:rsidP="00970EE2">
            <w:pPr>
              <w:spacing w:before="37" w:after="37"/>
              <w:rPr>
                <w:highlight w:val="yellow"/>
              </w:rPr>
            </w:pPr>
            <w:r>
              <w:t>Total Comprehension</w:t>
            </w:r>
          </w:p>
        </w:tc>
        <w:tc>
          <w:tcPr>
            <w:tcW w:w="1483" w:type="dxa"/>
            <w:tcBorders>
              <w:bottom w:val="single" w:sz="4" w:space="0" w:color="FFFFFF"/>
            </w:tcBorders>
            <w:shd w:val="clear" w:color="auto" w:fill="DBE5F1"/>
          </w:tcPr>
          <w:p w14:paraId="7CBCF6A3" w14:textId="77777777" w:rsidR="00AF4BA2" w:rsidRPr="00904452" w:rsidRDefault="00AF4BA2" w:rsidP="00970EE2">
            <w:pPr>
              <w:spacing w:before="37" w:after="37"/>
              <w:jc w:val="center"/>
              <w:rPr>
                <w:highlight w:val="yellow"/>
              </w:rPr>
            </w:pPr>
            <w:r>
              <w:t>1.44</w:t>
            </w:r>
            <w:r w:rsidRPr="00904452">
              <w:t xml:space="preserve"> (</w:t>
            </w:r>
            <w:r>
              <w:t>6.13</w:t>
            </w:r>
            <w:r w:rsidRPr="00904452">
              <w:t>)</w:t>
            </w:r>
          </w:p>
        </w:tc>
        <w:tc>
          <w:tcPr>
            <w:tcW w:w="1530" w:type="dxa"/>
            <w:tcBorders>
              <w:bottom w:val="single" w:sz="4" w:space="0" w:color="FFFFFF"/>
            </w:tcBorders>
            <w:shd w:val="clear" w:color="auto" w:fill="DBE5F1"/>
          </w:tcPr>
          <w:p w14:paraId="784ED77A" w14:textId="77777777" w:rsidR="00AF4BA2" w:rsidRPr="00D05405" w:rsidRDefault="00AF4BA2" w:rsidP="00970EE2">
            <w:pPr>
              <w:spacing w:before="37" w:after="37"/>
              <w:jc w:val="center"/>
              <w:rPr>
                <w:highlight w:val="green"/>
              </w:rPr>
            </w:pPr>
            <w:r w:rsidRPr="00D05405">
              <w:rPr>
                <w:highlight w:val="green"/>
              </w:rPr>
              <w:t>0.24 (9%)</w:t>
            </w:r>
          </w:p>
        </w:tc>
        <w:tc>
          <w:tcPr>
            <w:tcW w:w="1530" w:type="dxa"/>
            <w:tcBorders>
              <w:bottom w:val="single" w:sz="4" w:space="0" w:color="FFFFFF"/>
            </w:tcBorders>
            <w:shd w:val="clear" w:color="auto" w:fill="DBE5F1"/>
          </w:tcPr>
          <w:p w14:paraId="03AD64BA" w14:textId="77777777" w:rsidR="00AF4BA2" w:rsidRPr="00904452" w:rsidRDefault="00AF4BA2" w:rsidP="00970EE2">
            <w:pPr>
              <w:spacing w:before="37" w:after="37"/>
              <w:jc w:val="center"/>
              <w:rPr>
                <w:highlight w:val="yellow"/>
              </w:rPr>
            </w:pPr>
            <w:r>
              <w:t>2.07</w:t>
            </w:r>
            <w:r w:rsidRPr="00904452">
              <w:t xml:space="preserve"> (</w:t>
            </w:r>
            <w:r>
              <w:t>7.90</w:t>
            </w:r>
            <w:r w:rsidRPr="00904452">
              <w:t>)</w:t>
            </w:r>
          </w:p>
        </w:tc>
        <w:tc>
          <w:tcPr>
            <w:tcW w:w="1620" w:type="dxa"/>
            <w:tcBorders>
              <w:bottom w:val="single" w:sz="4" w:space="0" w:color="FFFFFF"/>
            </w:tcBorders>
            <w:shd w:val="clear" w:color="auto" w:fill="DBE5F1"/>
          </w:tcPr>
          <w:p w14:paraId="2DFDDB5C" w14:textId="77777777" w:rsidR="00AF4BA2" w:rsidRPr="00D05405" w:rsidRDefault="00AF4BA2" w:rsidP="00970EE2">
            <w:pPr>
              <w:spacing w:before="37" w:after="37"/>
              <w:jc w:val="center"/>
              <w:rPr>
                <w:highlight w:val="green"/>
              </w:rPr>
            </w:pPr>
            <w:r w:rsidRPr="00D05405">
              <w:rPr>
                <w:highlight w:val="green"/>
              </w:rPr>
              <w:t>0.26 (10%)</w:t>
            </w:r>
          </w:p>
        </w:tc>
      </w:tr>
      <w:tr w:rsidR="00AF4BA2" w14:paraId="4D354F99" w14:textId="77777777" w:rsidTr="00970EE2">
        <w:trPr>
          <w:trHeight w:val="210"/>
          <w:jc w:val="center"/>
        </w:trPr>
        <w:tc>
          <w:tcPr>
            <w:tcW w:w="9090" w:type="dxa"/>
            <w:gridSpan w:val="5"/>
            <w:tcBorders>
              <w:top w:val="single" w:sz="4" w:space="0" w:color="FFFFFF"/>
            </w:tcBorders>
            <w:shd w:val="clear" w:color="auto" w:fill="DBE5F1"/>
          </w:tcPr>
          <w:p w14:paraId="50CE4A5A" w14:textId="77777777" w:rsidR="00AF4BA2" w:rsidRPr="0066203E" w:rsidRDefault="00AF4BA2" w:rsidP="00970EE2">
            <w:pPr>
              <w:spacing w:before="37"/>
              <w:rPr>
                <w:color w:val="000000"/>
                <w:sz w:val="16"/>
                <w:szCs w:val="16"/>
              </w:rPr>
            </w:pPr>
            <w:r w:rsidRPr="0066203E">
              <w:rPr>
                <w:sz w:val="16"/>
                <w:szCs w:val="16"/>
              </w:rPr>
              <w:t xml:space="preserve">Gain = iLit </w:t>
            </w:r>
            <w:r w:rsidRPr="0066203E">
              <w:rPr>
                <w:color w:val="000000"/>
                <w:sz w:val="16"/>
                <w:szCs w:val="16"/>
              </w:rPr>
              <w:t>sample mean baseline to end of school year post-test gain score, (SD) = iLit sample gain score standard deviation</w:t>
            </w:r>
          </w:p>
          <w:p w14:paraId="15073F48" w14:textId="77777777" w:rsidR="00AF4BA2" w:rsidRPr="0066203E" w:rsidRDefault="00AF4BA2" w:rsidP="00970EE2">
            <w:pPr>
              <w:spacing w:before="37" w:after="37"/>
              <w:rPr>
                <w:color w:val="000000"/>
                <w:sz w:val="16"/>
                <w:szCs w:val="16"/>
              </w:rPr>
            </w:pPr>
            <w:r w:rsidRPr="0066203E">
              <w:rPr>
                <w:sz w:val="16"/>
                <w:szCs w:val="16"/>
              </w:rPr>
              <w:t xml:space="preserve">Numeric effect Size = </w:t>
            </w:r>
            <w:r w:rsidRPr="0066203E">
              <w:rPr>
                <w:color w:val="000000"/>
                <w:sz w:val="16"/>
                <w:szCs w:val="16"/>
              </w:rPr>
              <w:t>sample mean gain score / gain score standard deviation</w:t>
            </w:r>
          </w:p>
          <w:p w14:paraId="0084DD9A" w14:textId="77777777" w:rsidR="00AF4BA2" w:rsidRDefault="00AF4BA2" w:rsidP="00970EE2">
            <w:pPr>
              <w:spacing w:before="37" w:after="37"/>
              <w:rPr>
                <w:sz w:val="16"/>
                <w:szCs w:val="16"/>
              </w:rPr>
            </w:pPr>
            <w:r w:rsidRPr="0066203E">
              <w:rPr>
                <w:sz w:val="16"/>
                <w:szCs w:val="16"/>
              </w:rPr>
              <w:t>Percent effect size = difference in percentile rank for the average end-of-school-year score in relation to the baseline score distribution</w:t>
            </w:r>
          </w:p>
          <w:p w14:paraId="521365CD" w14:textId="2A8D9280" w:rsidR="00D05405" w:rsidRPr="002639CA" w:rsidRDefault="00D05405" w:rsidP="00970EE2">
            <w:pPr>
              <w:spacing w:before="37" w:after="37"/>
              <w:rPr>
                <w:sz w:val="16"/>
                <w:szCs w:val="16"/>
                <w:highlight w:val="yellow"/>
              </w:rPr>
            </w:pPr>
            <w:r>
              <w:rPr>
                <w:color w:val="000000" w:themeColor="text1"/>
                <w:sz w:val="16"/>
                <w:szCs w:val="16"/>
                <w:highlight w:val="green"/>
              </w:rPr>
              <w:t>GREEN</w:t>
            </w:r>
            <w:r w:rsidRPr="000C36CE">
              <w:rPr>
                <w:color w:val="000000" w:themeColor="text1"/>
                <w:sz w:val="16"/>
                <w:szCs w:val="16"/>
              </w:rPr>
              <w:t xml:space="preserve"> highlighting indicates p-value is &lt; 0.05 and two-sided statistical test is significant</w:t>
            </w:r>
          </w:p>
        </w:tc>
      </w:tr>
    </w:tbl>
    <w:p w14:paraId="35244CC2" w14:textId="5F4BCEB4" w:rsidR="00AF4BA2" w:rsidRDefault="00AF4BA2">
      <w:pPr>
        <w:rPr>
          <w:color w:val="000000"/>
        </w:rPr>
      </w:pPr>
    </w:p>
    <w:p w14:paraId="7A45BA4F" w14:textId="77777777" w:rsidR="00D05405" w:rsidRDefault="00D05405">
      <w:pPr>
        <w:rPr>
          <w:color w:val="000000"/>
        </w:rPr>
      </w:pPr>
    </w:p>
    <w:p w14:paraId="7A258AD1" w14:textId="77777777" w:rsidR="00CB0320" w:rsidRPr="009B33B3" w:rsidRDefault="00CB0320" w:rsidP="00CB0320">
      <w:pPr>
        <w:autoSpaceDE w:val="0"/>
        <w:autoSpaceDN w:val="0"/>
        <w:adjustRightInd w:val="0"/>
        <w:rPr>
          <w:b/>
          <w:color w:val="FFFF99"/>
          <w:sz w:val="8"/>
          <w:szCs w:val="8"/>
          <w:highlight w:val="darkBlue"/>
        </w:rPr>
      </w:pPr>
      <w:r>
        <w:rPr>
          <w:b/>
          <w:color w:val="FFFF99"/>
          <w:sz w:val="8"/>
          <w:szCs w:val="8"/>
          <w:highlight w:val="darkBlue"/>
        </w:rPr>
        <w:tab/>
      </w:r>
      <w:r>
        <w:rPr>
          <w:b/>
          <w:color w:val="FFFF99"/>
          <w:sz w:val="8"/>
          <w:szCs w:val="8"/>
          <w:highlight w:val="darkBlue"/>
        </w:rPr>
        <w:tab/>
      </w:r>
      <w:r>
        <w:rPr>
          <w:b/>
          <w:color w:val="FFFF99"/>
          <w:sz w:val="8"/>
          <w:szCs w:val="8"/>
          <w:highlight w:val="darkBlue"/>
        </w:rPr>
        <w:tab/>
      </w:r>
      <w:r>
        <w:rPr>
          <w:b/>
          <w:color w:val="FFFF99"/>
          <w:sz w:val="8"/>
          <w:szCs w:val="8"/>
          <w:highlight w:val="darkBlue"/>
        </w:rPr>
        <w:tab/>
      </w:r>
      <w:r>
        <w:rPr>
          <w:b/>
          <w:color w:val="FFFF99"/>
          <w:sz w:val="8"/>
          <w:szCs w:val="8"/>
          <w:highlight w:val="darkBlue"/>
        </w:rPr>
        <w:tab/>
      </w:r>
      <w:r>
        <w:rPr>
          <w:b/>
          <w:color w:val="FFFF99"/>
          <w:sz w:val="8"/>
          <w:szCs w:val="8"/>
          <w:highlight w:val="darkBlue"/>
        </w:rPr>
        <w:tab/>
      </w:r>
      <w:r>
        <w:rPr>
          <w:b/>
          <w:color w:val="FFFF99"/>
          <w:sz w:val="8"/>
          <w:szCs w:val="8"/>
          <w:highlight w:val="darkBlue"/>
        </w:rPr>
        <w:tab/>
      </w:r>
      <w:r w:rsidRPr="009B33B3">
        <w:rPr>
          <w:b/>
          <w:color w:val="FFFF99"/>
          <w:sz w:val="8"/>
          <w:szCs w:val="8"/>
          <w:highlight w:val="darkBlue"/>
        </w:rPr>
        <w:t xml:space="preserve">          </w:t>
      </w:r>
    </w:p>
    <w:p w14:paraId="0D4B661F" w14:textId="77777777" w:rsidR="00CB0320" w:rsidRPr="00356203" w:rsidRDefault="00CB0320" w:rsidP="00CB0320">
      <w:pPr>
        <w:autoSpaceDE w:val="0"/>
        <w:autoSpaceDN w:val="0"/>
        <w:adjustRightInd w:val="0"/>
        <w:rPr>
          <w:b/>
          <w:color w:val="FFFF99"/>
          <w:sz w:val="8"/>
          <w:szCs w:val="8"/>
        </w:rPr>
      </w:pPr>
      <w:r>
        <w:rPr>
          <w:b/>
          <w:i/>
          <w:color w:val="000080"/>
          <w:sz w:val="28"/>
          <w:szCs w:val="28"/>
        </w:rPr>
        <w:t xml:space="preserve"> Group Achievement Gain Comparisons</w:t>
      </w:r>
      <w:r w:rsidRPr="00356203">
        <w:rPr>
          <w:b/>
          <w:i/>
          <w:color w:val="000080"/>
          <w:sz w:val="28"/>
          <w:szCs w:val="28"/>
        </w:rPr>
        <w:tab/>
      </w:r>
      <w:r w:rsidRPr="00356203">
        <w:rPr>
          <w:b/>
          <w:i/>
          <w:color w:val="000080"/>
          <w:sz w:val="28"/>
          <w:szCs w:val="28"/>
        </w:rPr>
        <w:tab/>
      </w:r>
    </w:p>
    <w:p w14:paraId="20995FD9" w14:textId="77777777" w:rsidR="00CB0320" w:rsidRPr="009B33B3" w:rsidRDefault="00CB0320" w:rsidP="00CB0320">
      <w:pPr>
        <w:autoSpaceDE w:val="0"/>
        <w:autoSpaceDN w:val="0"/>
        <w:adjustRightInd w:val="0"/>
        <w:rPr>
          <w:b/>
          <w:color w:val="FFFF99"/>
          <w:sz w:val="8"/>
          <w:szCs w:val="8"/>
          <w:highlight w:val="darkBlue"/>
        </w:rPr>
      </w:pPr>
      <w:r>
        <w:rPr>
          <w:b/>
          <w:color w:val="FFFF99"/>
          <w:sz w:val="8"/>
          <w:szCs w:val="8"/>
          <w:highlight w:val="darkBlue"/>
        </w:rPr>
        <w:tab/>
      </w:r>
      <w:r>
        <w:rPr>
          <w:b/>
          <w:color w:val="FFFF99"/>
          <w:sz w:val="8"/>
          <w:szCs w:val="8"/>
          <w:highlight w:val="darkBlue"/>
        </w:rPr>
        <w:tab/>
      </w:r>
      <w:r>
        <w:rPr>
          <w:b/>
          <w:color w:val="FFFF99"/>
          <w:sz w:val="8"/>
          <w:szCs w:val="8"/>
          <w:highlight w:val="darkBlue"/>
        </w:rPr>
        <w:tab/>
      </w:r>
      <w:r>
        <w:rPr>
          <w:b/>
          <w:color w:val="FFFF99"/>
          <w:sz w:val="8"/>
          <w:szCs w:val="8"/>
          <w:highlight w:val="darkBlue"/>
        </w:rPr>
        <w:tab/>
      </w:r>
      <w:r>
        <w:rPr>
          <w:b/>
          <w:color w:val="FFFF99"/>
          <w:sz w:val="8"/>
          <w:szCs w:val="8"/>
          <w:highlight w:val="darkBlue"/>
        </w:rPr>
        <w:tab/>
      </w:r>
      <w:r w:rsidRPr="009B33B3">
        <w:rPr>
          <w:b/>
          <w:color w:val="FFFF99"/>
          <w:sz w:val="8"/>
          <w:szCs w:val="8"/>
          <w:highlight w:val="darkBlue"/>
        </w:rPr>
        <w:tab/>
      </w:r>
      <w:r w:rsidRPr="009B33B3">
        <w:rPr>
          <w:b/>
          <w:color w:val="FFFF99"/>
          <w:sz w:val="8"/>
          <w:szCs w:val="8"/>
          <w:highlight w:val="darkBlue"/>
        </w:rPr>
        <w:tab/>
      </w:r>
    </w:p>
    <w:p w14:paraId="36FEBE3B" w14:textId="77777777" w:rsidR="00CB0320" w:rsidRDefault="00CB0320" w:rsidP="00CB0320">
      <w:pPr>
        <w:jc w:val="both"/>
      </w:pPr>
    </w:p>
    <w:p w14:paraId="65D4B253" w14:textId="77777777" w:rsidR="00CB0320" w:rsidRPr="00E92356" w:rsidRDefault="00CB0320" w:rsidP="00CB0320">
      <w:pPr>
        <w:jc w:val="both"/>
      </w:pPr>
      <w:r w:rsidRPr="00E92356">
        <w:t>This section will attempt to answer research question two:</w:t>
      </w:r>
    </w:p>
    <w:p w14:paraId="2BCA12A3" w14:textId="77777777" w:rsidR="00CB0320" w:rsidRPr="00EC500D" w:rsidRDefault="00CB0320" w:rsidP="00CB0320">
      <w:pPr>
        <w:jc w:val="both"/>
        <w:rPr>
          <w:highlight w:val="yellow"/>
        </w:rPr>
      </w:pPr>
    </w:p>
    <w:p w14:paraId="0239D40E" w14:textId="77777777" w:rsidR="00CB0320" w:rsidRPr="00A55DB7" w:rsidRDefault="00CB0320" w:rsidP="00CB0320">
      <w:pPr>
        <w:jc w:val="both"/>
        <w:rPr>
          <w:i/>
          <w:color w:val="000080"/>
        </w:rPr>
      </w:pPr>
      <w:r w:rsidRPr="00A55DB7">
        <w:rPr>
          <w:i/>
          <w:color w:val="000080"/>
        </w:rPr>
        <w:t xml:space="preserve">RQ2. Do below grade level students, receiving core literacy instruction from the iLit program over the course of the initial and second school year of implementation, demonstrate a significant improvement in achievement over otherwise similar and randomized students in classrooms using their current literacy programs and methods (i.e., not fully digital)? </w:t>
      </w:r>
    </w:p>
    <w:p w14:paraId="7F88D295" w14:textId="33BDCB7A" w:rsidR="00CB0320" w:rsidRDefault="00CB0320" w:rsidP="00CB0320">
      <w:pPr>
        <w:jc w:val="both"/>
        <w:rPr>
          <w:highlight w:val="yellow"/>
        </w:rPr>
      </w:pPr>
    </w:p>
    <w:p w14:paraId="3B5D2027" w14:textId="77777777" w:rsidR="00D05405" w:rsidRPr="008147AD" w:rsidRDefault="00D05405" w:rsidP="00D05405">
      <w:pPr>
        <w:jc w:val="both"/>
        <w:rPr>
          <w:b/>
          <w:i/>
          <w:color w:val="000080"/>
          <w:sz w:val="28"/>
          <w:szCs w:val="28"/>
        </w:rPr>
      </w:pPr>
      <w:r w:rsidRPr="008147AD">
        <w:rPr>
          <w:b/>
          <w:i/>
          <w:color w:val="000080"/>
          <w:sz w:val="28"/>
          <w:szCs w:val="28"/>
        </w:rPr>
        <w:t>After the initial school year, iLit students performed as well as their comparison counterpart on all achievement outcomes.  By the end of the second school year, the iLit students significantly outperformed their comparison counterparts in Comprehension.</w:t>
      </w:r>
    </w:p>
    <w:p w14:paraId="1333CD88" w14:textId="77777777" w:rsidR="00D05405" w:rsidRPr="00EC500D" w:rsidRDefault="00D05405" w:rsidP="00CB0320">
      <w:pPr>
        <w:jc w:val="both"/>
        <w:rPr>
          <w:highlight w:val="yellow"/>
        </w:rPr>
      </w:pPr>
    </w:p>
    <w:p w14:paraId="3F03927F" w14:textId="76781280" w:rsidR="00CB0320" w:rsidRPr="00C448B9" w:rsidRDefault="00C448B9" w:rsidP="00CB0320">
      <w:pPr>
        <w:jc w:val="both"/>
        <w:rPr>
          <w:color w:val="000000"/>
        </w:rPr>
      </w:pPr>
      <w:r w:rsidRPr="00AD2A2B">
        <w:rPr>
          <w:color w:val="000000"/>
        </w:rPr>
        <w:t>Figure 1 presents the baseline and end-of-school-year group mean</w:t>
      </w:r>
      <w:r w:rsidRPr="00AD2A2B">
        <w:t>s</w:t>
      </w:r>
      <w:r w:rsidRPr="00AD2A2B">
        <w:rPr>
          <w:color w:val="000000"/>
        </w:rPr>
        <w:t xml:space="preserve"> </w:t>
      </w:r>
      <w:r w:rsidRPr="00AD2A2B">
        <w:t>on the GRADE total battery</w:t>
      </w:r>
      <w:r>
        <w:t xml:space="preserve"> </w:t>
      </w:r>
      <w:r w:rsidRPr="00AD2A2B">
        <w:t>and subtests across each school year.</w:t>
      </w:r>
      <w:r>
        <w:rPr>
          <w:color w:val="000000"/>
        </w:rPr>
        <w:t xml:space="preserve">  </w:t>
      </w:r>
      <w:r w:rsidR="00D05405" w:rsidRPr="00AD2A2B">
        <w:t>Table 8 reports the differential group gains with associated</w:t>
      </w:r>
      <w:r w:rsidR="00D05405">
        <w:t xml:space="preserve"> effect sizes.  </w:t>
      </w:r>
      <w:r w:rsidR="002B7F0B">
        <w:t>G</w:t>
      </w:r>
      <w:r w:rsidR="00CB0320">
        <w:t xml:space="preserve">roups performed equivalently in the 2013-14 school year with the exception of Listening Comprehension, in which the iLit group statistically outperformed the comparison group. </w:t>
      </w:r>
    </w:p>
    <w:p w14:paraId="0717DFFE" w14:textId="77777777" w:rsidR="00CB0320" w:rsidRDefault="00CB0320" w:rsidP="00CB0320">
      <w:pPr>
        <w:jc w:val="both"/>
      </w:pPr>
    </w:p>
    <w:p w14:paraId="2ED0693C" w14:textId="10B40B6D" w:rsidR="002B7F0B" w:rsidRDefault="00CB0320" w:rsidP="00CB0320">
      <w:pPr>
        <w:jc w:val="both"/>
        <w:rPr>
          <w:color w:val="000000"/>
        </w:rPr>
      </w:pPr>
      <w:r>
        <w:lastRenderedPageBreak/>
        <w:t>In the 2014-15 school year however,</w:t>
      </w:r>
      <w:r w:rsidRPr="006E1D2F">
        <w:t xml:space="preserve"> the differential gains in Listening Comprehension were positiv</w:t>
      </w:r>
      <w:r>
        <w:t>e w</w:t>
      </w:r>
      <w:r w:rsidR="0086789C">
        <w:t>ith the</w:t>
      </w:r>
      <w:r>
        <w:t xml:space="preserve"> iLit group </w:t>
      </w:r>
      <w:r w:rsidRPr="006E1D2F">
        <w:t xml:space="preserve">statistically significantly </w:t>
      </w:r>
      <w:r>
        <w:t>outperformed the comparison group in the Comprehension scale and subsequently the Total scale.  Vocabulary performance was practically equivalent across both years and Listening Comprehension was as well in the second school ye</w:t>
      </w:r>
      <w:r>
        <w:rPr>
          <w:color w:val="000000"/>
        </w:rPr>
        <w:t xml:space="preserve">ar.  </w:t>
      </w:r>
      <w:r w:rsidRPr="00FE519B">
        <w:rPr>
          <w:color w:val="000000"/>
        </w:rPr>
        <w:t>A review</w:t>
      </w:r>
      <w:r w:rsidR="005378EA">
        <w:rPr>
          <w:rStyle w:val="FootnoteReference"/>
          <w:color w:val="000000"/>
        </w:rPr>
        <w:footnoteReference w:id="7"/>
      </w:r>
      <w:r w:rsidR="005378EA">
        <w:rPr>
          <w:color w:val="000000"/>
        </w:rPr>
        <w:t xml:space="preserve"> </w:t>
      </w:r>
      <w:r w:rsidRPr="00FE519B">
        <w:rPr>
          <w:color w:val="000000"/>
        </w:rPr>
        <w:t xml:space="preserve">of recent </w:t>
      </w:r>
      <w:r>
        <w:rPr>
          <w:color w:val="000000"/>
        </w:rPr>
        <w:t xml:space="preserve">RCT </w:t>
      </w:r>
      <w:r w:rsidRPr="00FE519B">
        <w:rPr>
          <w:color w:val="000000"/>
        </w:rPr>
        <w:t>research reports</w:t>
      </w:r>
      <w:r>
        <w:rPr>
          <w:color w:val="000000"/>
        </w:rPr>
        <w:t xml:space="preserve"> of </w:t>
      </w:r>
      <w:r w:rsidRPr="00F41E07">
        <w:rPr>
          <w:rFonts w:cs="Adobe Garamond Pro"/>
          <w:color w:val="000000"/>
          <w:sz w:val="23"/>
          <w:szCs w:val="23"/>
        </w:rPr>
        <w:t xml:space="preserve">low performing and at-risk </w:t>
      </w:r>
      <w:r>
        <w:rPr>
          <w:color w:val="000000"/>
        </w:rPr>
        <w:t xml:space="preserve">middle grades students saw an average comparative effect size of 6 percentile points.  The statistically significant </w:t>
      </w:r>
      <w:r w:rsidR="009343FD">
        <w:rPr>
          <w:color w:val="000000"/>
        </w:rPr>
        <w:t xml:space="preserve">gains </w:t>
      </w:r>
      <w:r>
        <w:rPr>
          <w:color w:val="000000"/>
        </w:rPr>
        <w:t>seen by the iLit group are all larger than this average.</w:t>
      </w:r>
      <w:r w:rsidR="002B7F0B">
        <w:rPr>
          <w:color w:val="000000"/>
        </w:rPr>
        <w:t xml:space="preserve">  </w:t>
      </w:r>
    </w:p>
    <w:p w14:paraId="232EED08" w14:textId="35867A4E" w:rsidR="002B7F0B" w:rsidRDefault="002B7F0B" w:rsidP="00CB0320">
      <w:pPr>
        <w:jc w:val="both"/>
        <w:rPr>
          <w:color w:val="000000"/>
        </w:rPr>
      </w:pPr>
    </w:p>
    <w:p w14:paraId="430D9016" w14:textId="77777777" w:rsidR="00D05405" w:rsidRDefault="00D05405" w:rsidP="00D05405">
      <w:pPr>
        <w:jc w:val="both"/>
        <w:rPr>
          <w:color w:val="000000"/>
        </w:rPr>
      </w:pPr>
    </w:p>
    <w:tbl>
      <w:tblPr>
        <w:tblW w:w="8995" w:type="dxa"/>
        <w:jc w:val="center"/>
        <w:tblLook w:val="0000" w:firstRow="0" w:lastRow="0" w:firstColumn="0" w:lastColumn="0" w:noHBand="0" w:noVBand="0"/>
      </w:tblPr>
      <w:tblGrid>
        <w:gridCol w:w="2927"/>
        <w:gridCol w:w="1621"/>
        <w:gridCol w:w="1440"/>
        <w:gridCol w:w="1556"/>
        <w:gridCol w:w="1451"/>
      </w:tblGrid>
      <w:tr w:rsidR="00D05405" w14:paraId="23604676" w14:textId="77777777" w:rsidTr="00D05405">
        <w:trPr>
          <w:trHeight w:val="440"/>
          <w:jc w:val="center"/>
        </w:trPr>
        <w:tc>
          <w:tcPr>
            <w:tcW w:w="2927" w:type="dxa"/>
            <w:shd w:val="clear" w:color="auto" w:fill="548DD4"/>
          </w:tcPr>
          <w:p w14:paraId="7A5D7B13" w14:textId="77777777" w:rsidR="00D05405" w:rsidRPr="00AD2A2B" w:rsidRDefault="00D05405" w:rsidP="00D05405">
            <w:pPr>
              <w:spacing w:before="37" w:after="37"/>
            </w:pPr>
            <w:r w:rsidRPr="00AD2A2B">
              <w:rPr>
                <w:color w:val="000000" w:themeColor="text1"/>
              </w:rPr>
              <w:t>Table 8</w:t>
            </w:r>
          </w:p>
        </w:tc>
        <w:tc>
          <w:tcPr>
            <w:tcW w:w="6068" w:type="dxa"/>
            <w:gridSpan w:val="4"/>
            <w:shd w:val="clear" w:color="auto" w:fill="548DD4"/>
          </w:tcPr>
          <w:p w14:paraId="6F4774FF" w14:textId="77777777" w:rsidR="00D05405" w:rsidRPr="00507385" w:rsidRDefault="00D05405" w:rsidP="00D05405">
            <w:pPr>
              <w:spacing w:before="37" w:after="37"/>
            </w:pPr>
            <w:r w:rsidRPr="00AD2A2B">
              <w:rPr>
                <w:color w:val="000000"/>
              </w:rPr>
              <w:t>Comparative Group Effect Size Gains</w:t>
            </w:r>
          </w:p>
        </w:tc>
      </w:tr>
      <w:tr w:rsidR="00D05405" w:rsidRPr="00904452" w14:paraId="0063D1A2" w14:textId="77777777" w:rsidTr="00D05405">
        <w:trPr>
          <w:trHeight w:val="775"/>
          <w:jc w:val="center"/>
        </w:trPr>
        <w:tc>
          <w:tcPr>
            <w:tcW w:w="2927" w:type="dxa"/>
            <w:tcBorders>
              <w:top w:val="single" w:sz="4" w:space="0" w:color="FFFFFF"/>
              <w:left w:val="single" w:sz="4" w:space="0" w:color="FFFFFF"/>
            </w:tcBorders>
            <w:shd w:val="clear" w:color="auto" w:fill="548DD4"/>
            <w:vAlign w:val="center"/>
          </w:tcPr>
          <w:p w14:paraId="3F7BDF07" w14:textId="77777777" w:rsidR="00D05405" w:rsidRPr="00F43016" w:rsidRDefault="00D05405" w:rsidP="00D05405">
            <w:pPr>
              <w:spacing w:before="37" w:after="37"/>
              <w:jc w:val="center"/>
            </w:pPr>
            <w:r>
              <w:t xml:space="preserve">GRADE Level M </w:t>
            </w:r>
            <w:r w:rsidRPr="00F43016">
              <w:t>S</w:t>
            </w:r>
            <w:r>
              <w:t>cale</w:t>
            </w:r>
          </w:p>
        </w:tc>
        <w:tc>
          <w:tcPr>
            <w:tcW w:w="1621" w:type="dxa"/>
            <w:tcBorders>
              <w:top w:val="single" w:sz="4" w:space="0" w:color="FFFFFF"/>
            </w:tcBorders>
            <w:shd w:val="clear" w:color="auto" w:fill="548DD4"/>
            <w:vAlign w:val="center"/>
          </w:tcPr>
          <w:p w14:paraId="0E27F84C" w14:textId="77777777" w:rsidR="00D05405" w:rsidRDefault="00D05405" w:rsidP="00D05405">
            <w:pPr>
              <w:spacing w:before="37" w:after="37"/>
              <w:jc w:val="center"/>
            </w:pPr>
            <w:r w:rsidRPr="00904452">
              <w:t xml:space="preserve">2013-14 </w:t>
            </w:r>
          </w:p>
          <w:p w14:paraId="2E6D2C8A" w14:textId="77777777" w:rsidR="00D05405" w:rsidRPr="00904452" w:rsidRDefault="00D05405" w:rsidP="00D05405">
            <w:pPr>
              <w:spacing w:before="37" w:after="37"/>
              <w:jc w:val="center"/>
            </w:pPr>
            <w:r w:rsidRPr="00904452">
              <w:t>Gain (SD)</w:t>
            </w:r>
          </w:p>
        </w:tc>
        <w:tc>
          <w:tcPr>
            <w:tcW w:w="1440" w:type="dxa"/>
            <w:tcBorders>
              <w:top w:val="single" w:sz="4" w:space="0" w:color="FFFFFF"/>
            </w:tcBorders>
            <w:shd w:val="clear" w:color="auto" w:fill="548DD4"/>
            <w:vAlign w:val="center"/>
          </w:tcPr>
          <w:p w14:paraId="2D527510" w14:textId="77777777" w:rsidR="00D05405" w:rsidRPr="00904452" w:rsidRDefault="00D05405" w:rsidP="00D05405">
            <w:pPr>
              <w:spacing w:before="37" w:after="37"/>
              <w:jc w:val="center"/>
            </w:pPr>
            <w:r>
              <w:t>2013-14 Effect Size</w:t>
            </w:r>
          </w:p>
        </w:tc>
        <w:tc>
          <w:tcPr>
            <w:tcW w:w="1556" w:type="dxa"/>
            <w:tcBorders>
              <w:top w:val="single" w:sz="4" w:space="0" w:color="FFFFFF"/>
            </w:tcBorders>
            <w:shd w:val="clear" w:color="auto" w:fill="548DD4"/>
            <w:vAlign w:val="center"/>
          </w:tcPr>
          <w:p w14:paraId="4F61B2DD" w14:textId="77777777" w:rsidR="00D05405" w:rsidRDefault="00D05405" w:rsidP="00D05405">
            <w:pPr>
              <w:spacing w:before="37" w:after="37"/>
              <w:jc w:val="center"/>
            </w:pPr>
            <w:r>
              <w:t xml:space="preserve">2014-15 </w:t>
            </w:r>
          </w:p>
          <w:p w14:paraId="7217B022" w14:textId="77777777" w:rsidR="00D05405" w:rsidRPr="00904452" w:rsidRDefault="00D05405" w:rsidP="00D05405">
            <w:pPr>
              <w:spacing w:before="37" w:after="37"/>
              <w:jc w:val="center"/>
            </w:pPr>
            <w:r w:rsidRPr="00904452">
              <w:t>Gain (SD)</w:t>
            </w:r>
          </w:p>
        </w:tc>
        <w:tc>
          <w:tcPr>
            <w:tcW w:w="1451" w:type="dxa"/>
            <w:tcBorders>
              <w:top w:val="single" w:sz="4" w:space="0" w:color="FFFFFF"/>
              <w:left w:val="nil"/>
              <w:right w:val="single" w:sz="4" w:space="0" w:color="FFFFFF"/>
            </w:tcBorders>
            <w:shd w:val="clear" w:color="auto" w:fill="548DD4"/>
            <w:vAlign w:val="center"/>
          </w:tcPr>
          <w:p w14:paraId="11CCFF1E" w14:textId="77777777" w:rsidR="00D05405" w:rsidRPr="00904452" w:rsidRDefault="00D05405" w:rsidP="00D05405">
            <w:pPr>
              <w:spacing w:before="37" w:after="37"/>
              <w:jc w:val="center"/>
            </w:pPr>
            <w:r>
              <w:t xml:space="preserve">2014-15 </w:t>
            </w:r>
            <w:r w:rsidRPr="00904452">
              <w:t>Effect Size</w:t>
            </w:r>
          </w:p>
        </w:tc>
      </w:tr>
      <w:tr w:rsidR="00D05405" w:rsidRPr="00904452" w14:paraId="17BE0441" w14:textId="77777777" w:rsidTr="00D05405">
        <w:trPr>
          <w:trHeight w:val="285"/>
          <w:jc w:val="center"/>
        </w:trPr>
        <w:tc>
          <w:tcPr>
            <w:tcW w:w="2927" w:type="dxa"/>
            <w:tcBorders>
              <w:bottom w:val="single" w:sz="4" w:space="0" w:color="FFFFFF"/>
            </w:tcBorders>
            <w:shd w:val="clear" w:color="auto" w:fill="DBE5F1"/>
          </w:tcPr>
          <w:p w14:paraId="106DDC04" w14:textId="77777777" w:rsidR="00D05405" w:rsidRPr="00F43016" w:rsidRDefault="00D05405" w:rsidP="00D05405">
            <w:pPr>
              <w:spacing w:before="37" w:after="37"/>
            </w:pPr>
            <w:r>
              <w:t>GR</w:t>
            </w:r>
            <w:r w:rsidRPr="00F43016">
              <w:t>ADE Total</w:t>
            </w:r>
          </w:p>
        </w:tc>
        <w:tc>
          <w:tcPr>
            <w:tcW w:w="1621" w:type="dxa"/>
            <w:tcBorders>
              <w:bottom w:val="single" w:sz="4" w:space="0" w:color="FFFFFF"/>
            </w:tcBorders>
            <w:shd w:val="clear" w:color="auto" w:fill="DBE5F1"/>
          </w:tcPr>
          <w:p w14:paraId="619E46B7" w14:textId="77777777" w:rsidR="00D05405" w:rsidRPr="00904452" w:rsidRDefault="00D05405" w:rsidP="00D05405">
            <w:pPr>
              <w:spacing w:before="37" w:after="37"/>
              <w:jc w:val="center"/>
            </w:pPr>
            <w:r>
              <w:t>0.05</w:t>
            </w:r>
            <w:r w:rsidRPr="00904452">
              <w:t xml:space="preserve"> (</w:t>
            </w:r>
            <w:r>
              <w:t>7.28</w:t>
            </w:r>
            <w:r w:rsidRPr="00904452">
              <w:t>)</w:t>
            </w:r>
          </w:p>
        </w:tc>
        <w:tc>
          <w:tcPr>
            <w:tcW w:w="1440" w:type="dxa"/>
            <w:tcBorders>
              <w:bottom w:val="single" w:sz="4" w:space="0" w:color="FFFFFF"/>
            </w:tcBorders>
            <w:shd w:val="clear" w:color="auto" w:fill="DBE5F1"/>
          </w:tcPr>
          <w:p w14:paraId="100BCAB5" w14:textId="77777777" w:rsidR="00D05405" w:rsidRPr="00904452" w:rsidRDefault="00D05405" w:rsidP="00D05405">
            <w:pPr>
              <w:spacing w:before="37" w:after="37"/>
              <w:jc w:val="center"/>
            </w:pPr>
            <w:r w:rsidRPr="00904452">
              <w:t>0.</w:t>
            </w:r>
            <w:r>
              <w:t>01</w:t>
            </w:r>
            <w:r w:rsidRPr="00904452">
              <w:t xml:space="preserve"> (</w:t>
            </w:r>
            <w:r>
              <w:t>&lt;1</w:t>
            </w:r>
            <w:r w:rsidRPr="00904452">
              <w:t>%)</w:t>
            </w:r>
          </w:p>
        </w:tc>
        <w:tc>
          <w:tcPr>
            <w:tcW w:w="1556" w:type="dxa"/>
            <w:tcBorders>
              <w:bottom w:val="single" w:sz="4" w:space="0" w:color="FFFFFF"/>
            </w:tcBorders>
            <w:shd w:val="clear" w:color="auto" w:fill="DBE5F1"/>
          </w:tcPr>
          <w:p w14:paraId="2F6C40D8" w14:textId="77777777" w:rsidR="00D05405" w:rsidRPr="00904452" w:rsidRDefault="00D05405" w:rsidP="00D05405">
            <w:pPr>
              <w:spacing w:before="37" w:after="37"/>
              <w:jc w:val="center"/>
            </w:pPr>
            <w:r>
              <w:t>2.17 (10.89</w:t>
            </w:r>
            <w:r w:rsidRPr="00904452">
              <w:t>)</w:t>
            </w:r>
          </w:p>
        </w:tc>
        <w:tc>
          <w:tcPr>
            <w:tcW w:w="1451" w:type="dxa"/>
            <w:tcBorders>
              <w:bottom w:val="single" w:sz="4" w:space="0" w:color="FFFFFF"/>
            </w:tcBorders>
            <w:shd w:val="clear" w:color="auto" w:fill="DBE5F1"/>
          </w:tcPr>
          <w:p w14:paraId="6700760F" w14:textId="77777777" w:rsidR="00D05405" w:rsidRPr="00904452" w:rsidRDefault="00D05405" w:rsidP="00D05405">
            <w:pPr>
              <w:spacing w:before="37" w:after="37"/>
              <w:jc w:val="center"/>
            </w:pPr>
            <w:r w:rsidRPr="004C3EC8">
              <w:rPr>
                <w:highlight w:val="green"/>
              </w:rPr>
              <w:t>0.20 (8%)</w:t>
            </w:r>
          </w:p>
        </w:tc>
      </w:tr>
      <w:tr w:rsidR="00D05405" w:rsidRPr="00904452" w14:paraId="7B5CC998" w14:textId="77777777" w:rsidTr="00D05405">
        <w:trPr>
          <w:trHeight w:val="270"/>
          <w:jc w:val="center"/>
        </w:trPr>
        <w:tc>
          <w:tcPr>
            <w:tcW w:w="2927" w:type="dxa"/>
            <w:tcBorders>
              <w:bottom w:val="single" w:sz="4" w:space="0" w:color="FFFFFF"/>
            </w:tcBorders>
            <w:shd w:val="clear" w:color="auto" w:fill="DBE5F1"/>
          </w:tcPr>
          <w:p w14:paraId="6FB5ED2E" w14:textId="77777777" w:rsidR="00D05405" w:rsidRPr="0069250D" w:rsidRDefault="00D05405" w:rsidP="00D05405">
            <w:pPr>
              <w:spacing w:before="37" w:after="37"/>
              <w:rPr>
                <w:highlight w:val="yellow"/>
              </w:rPr>
            </w:pPr>
            <w:r>
              <w:t>Vocabulary</w:t>
            </w:r>
          </w:p>
        </w:tc>
        <w:tc>
          <w:tcPr>
            <w:tcW w:w="1621" w:type="dxa"/>
            <w:tcBorders>
              <w:bottom w:val="single" w:sz="4" w:space="0" w:color="FFFFFF"/>
            </w:tcBorders>
            <w:shd w:val="clear" w:color="auto" w:fill="DBE5F1"/>
          </w:tcPr>
          <w:p w14:paraId="3158E710" w14:textId="77777777" w:rsidR="00D05405" w:rsidRPr="00904452" w:rsidRDefault="00D05405" w:rsidP="00D05405">
            <w:pPr>
              <w:spacing w:before="37" w:after="37"/>
              <w:jc w:val="center"/>
              <w:rPr>
                <w:highlight w:val="yellow"/>
              </w:rPr>
            </w:pPr>
            <w:r>
              <w:t>-0.01</w:t>
            </w:r>
            <w:r w:rsidRPr="00904452">
              <w:t xml:space="preserve"> (</w:t>
            </w:r>
            <w:r>
              <w:t>3.65</w:t>
            </w:r>
            <w:r w:rsidRPr="00904452">
              <w:t>)</w:t>
            </w:r>
          </w:p>
        </w:tc>
        <w:tc>
          <w:tcPr>
            <w:tcW w:w="1440" w:type="dxa"/>
            <w:tcBorders>
              <w:bottom w:val="single" w:sz="4" w:space="0" w:color="FFFFFF"/>
            </w:tcBorders>
            <w:shd w:val="clear" w:color="auto" w:fill="DBE5F1"/>
          </w:tcPr>
          <w:p w14:paraId="3AA51346" w14:textId="77777777" w:rsidR="00D05405" w:rsidRPr="00904452" w:rsidRDefault="00D05405" w:rsidP="00D05405">
            <w:pPr>
              <w:spacing w:before="37" w:after="37"/>
              <w:jc w:val="center"/>
              <w:rPr>
                <w:highlight w:val="yellow"/>
              </w:rPr>
            </w:pPr>
            <w:r>
              <w:t>-0.00 (&lt;1</w:t>
            </w:r>
            <w:r w:rsidRPr="00904452">
              <w:t>%)</w:t>
            </w:r>
          </w:p>
        </w:tc>
        <w:tc>
          <w:tcPr>
            <w:tcW w:w="1556" w:type="dxa"/>
            <w:tcBorders>
              <w:bottom w:val="single" w:sz="4" w:space="0" w:color="FFFFFF"/>
            </w:tcBorders>
            <w:shd w:val="clear" w:color="auto" w:fill="DBE5F1"/>
          </w:tcPr>
          <w:p w14:paraId="69E142B0" w14:textId="77777777" w:rsidR="00D05405" w:rsidRPr="00904452" w:rsidRDefault="00D05405" w:rsidP="00D05405">
            <w:pPr>
              <w:spacing w:before="37" w:after="37"/>
              <w:jc w:val="center"/>
              <w:rPr>
                <w:highlight w:val="yellow"/>
              </w:rPr>
            </w:pPr>
            <w:r>
              <w:t>0.07</w:t>
            </w:r>
            <w:r w:rsidRPr="00904452">
              <w:t xml:space="preserve"> (</w:t>
            </w:r>
            <w:r>
              <w:t>4.89</w:t>
            </w:r>
            <w:r w:rsidRPr="00904452">
              <w:t>)</w:t>
            </w:r>
          </w:p>
        </w:tc>
        <w:tc>
          <w:tcPr>
            <w:tcW w:w="1451" w:type="dxa"/>
            <w:tcBorders>
              <w:bottom w:val="single" w:sz="4" w:space="0" w:color="FFFFFF"/>
            </w:tcBorders>
            <w:shd w:val="clear" w:color="auto" w:fill="DBE5F1"/>
          </w:tcPr>
          <w:p w14:paraId="01C8471D" w14:textId="77777777" w:rsidR="00D05405" w:rsidRPr="00904452" w:rsidRDefault="00D05405" w:rsidP="00D05405">
            <w:pPr>
              <w:spacing w:before="37" w:after="37"/>
              <w:jc w:val="center"/>
              <w:rPr>
                <w:highlight w:val="yellow"/>
              </w:rPr>
            </w:pPr>
            <w:r w:rsidRPr="00904452">
              <w:t>0.</w:t>
            </w:r>
            <w:r>
              <w:t>01 (1</w:t>
            </w:r>
            <w:r w:rsidRPr="00904452">
              <w:t>%)</w:t>
            </w:r>
          </w:p>
        </w:tc>
      </w:tr>
      <w:tr w:rsidR="00D05405" w:rsidRPr="00904452" w14:paraId="22856253" w14:textId="77777777" w:rsidTr="00D05405">
        <w:trPr>
          <w:trHeight w:val="300"/>
          <w:jc w:val="center"/>
        </w:trPr>
        <w:tc>
          <w:tcPr>
            <w:tcW w:w="2927" w:type="dxa"/>
            <w:tcBorders>
              <w:bottom w:val="single" w:sz="4" w:space="0" w:color="FFFFFF"/>
            </w:tcBorders>
            <w:shd w:val="clear" w:color="auto" w:fill="DBE5F1"/>
          </w:tcPr>
          <w:p w14:paraId="31AED6EA" w14:textId="77777777" w:rsidR="00D05405" w:rsidRPr="0069250D" w:rsidRDefault="00D05405" w:rsidP="00D05405">
            <w:pPr>
              <w:spacing w:before="37" w:after="37"/>
              <w:rPr>
                <w:highlight w:val="yellow"/>
              </w:rPr>
            </w:pPr>
            <w:r w:rsidRPr="00CF29D5">
              <w:t>Sentence Comprehension</w:t>
            </w:r>
          </w:p>
        </w:tc>
        <w:tc>
          <w:tcPr>
            <w:tcW w:w="1621" w:type="dxa"/>
            <w:tcBorders>
              <w:bottom w:val="single" w:sz="4" w:space="0" w:color="FFFFFF"/>
            </w:tcBorders>
            <w:shd w:val="clear" w:color="auto" w:fill="DBE5F1"/>
          </w:tcPr>
          <w:p w14:paraId="1B77A1CE" w14:textId="77777777" w:rsidR="00D05405" w:rsidRPr="00904452" w:rsidRDefault="00D05405" w:rsidP="00D05405">
            <w:pPr>
              <w:spacing w:before="37" w:after="37"/>
              <w:jc w:val="center"/>
              <w:rPr>
                <w:highlight w:val="yellow"/>
              </w:rPr>
            </w:pPr>
            <w:r>
              <w:t>-0.13</w:t>
            </w:r>
            <w:r w:rsidRPr="00904452">
              <w:t xml:space="preserve"> (</w:t>
            </w:r>
            <w:r>
              <w:t>3.20</w:t>
            </w:r>
            <w:r w:rsidRPr="00904452">
              <w:t>)</w:t>
            </w:r>
          </w:p>
        </w:tc>
        <w:tc>
          <w:tcPr>
            <w:tcW w:w="1440" w:type="dxa"/>
            <w:tcBorders>
              <w:bottom w:val="single" w:sz="4" w:space="0" w:color="FFFFFF"/>
            </w:tcBorders>
            <w:shd w:val="clear" w:color="auto" w:fill="DBE5F1"/>
          </w:tcPr>
          <w:p w14:paraId="57872AA9" w14:textId="77777777" w:rsidR="00D05405" w:rsidRPr="00904452" w:rsidRDefault="00D05405" w:rsidP="00D05405">
            <w:pPr>
              <w:spacing w:before="37" w:after="37"/>
              <w:jc w:val="center"/>
              <w:rPr>
                <w:highlight w:val="yellow"/>
              </w:rPr>
            </w:pPr>
            <w:r>
              <w:t>-0.00 (-2</w:t>
            </w:r>
            <w:r w:rsidRPr="00904452">
              <w:t>%)</w:t>
            </w:r>
          </w:p>
        </w:tc>
        <w:tc>
          <w:tcPr>
            <w:tcW w:w="1556" w:type="dxa"/>
            <w:tcBorders>
              <w:bottom w:val="single" w:sz="4" w:space="0" w:color="FFFFFF"/>
            </w:tcBorders>
            <w:shd w:val="clear" w:color="auto" w:fill="DBE5F1"/>
          </w:tcPr>
          <w:p w14:paraId="777C7287" w14:textId="77777777" w:rsidR="00D05405" w:rsidRPr="00904452" w:rsidRDefault="00D05405" w:rsidP="00D05405">
            <w:pPr>
              <w:spacing w:before="37" w:after="37"/>
              <w:jc w:val="center"/>
              <w:rPr>
                <w:highlight w:val="yellow"/>
              </w:rPr>
            </w:pPr>
            <w:r>
              <w:t>0.86</w:t>
            </w:r>
            <w:r w:rsidRPr="00904452">
              <w:t xml:space="preserve"> (</w:t>
            </w:r>
            <w:r>
              <w:t>4.34</w:t>
            </w:r>
            <w:r w:rsidRPr="00904452">
              <w:t>)</w:t>
            </w:r>
          </w:p>
        </w:tc>
        <w:tc>
          <w:tcPr>
            <w:tcW w:w="1451" w:type="dxa"/>
            <w:tcBorders>
              <w:bottom w:val="single" w:sz="4" w:space="0" w:color="FFFFFF"/>
            </w:tcBorders>
            <w:shd w:val="clear" w:color="auto" w:fill="DBE5F1"/>
          </w:tcPr>
          <w:p w14:paraId="7C429CC6" w14:textId="77777777" w:rsidR="00D05405" w:rsidRPr="00904452" w:rsidRDefault="00D05405" w:rsidP="00D05405">
            <w:pPr>
              <w:spacing w:before="37" w:after="37"/>
              <w:jc w:val="center"/>
              <w:rPr>
                <w:highlight w:val="yellow"/>
              </w:rPr>
            </w:pPr>
            <w:r w:rsidRPr="004C3EC8">
              <w:rPr>
                <w:highlight w:val="green"/>
              </w:rPr>
              <w:t>0.20 (8%)</w:t>
            </w:r>
          </w:p>
        </w:tc>
      </w:tr>
      <w:tr w:rsidR="00D05405" w:rsidRPr="00904452" w14:paraId="76233BE2" w14:textId="77777777" w:rsidTr="00D05405">
        <w:trPr>
          <w:trHeight w:val="300"/>
          <w:jc w:val="center"/>
        </w:trPr>
        <w:tc>
          <w:tcPr>
            <w:tcW w:w="2927" w:type="dxa"/>
            <w:tcBorders>
              <w:bottom w:val="single" w:sz="4" w:space="0" w:color="FFFFFF"/>
            </w:tcBorders>
            <w:shd w:val="clear" w:color="auto" w:fill="DBE5F1"/>
          </w:tcPr>
          <w:p w14:paraId="7219D082" w14:textId="77777777" w:rsidR="00D05405" w:rsidRPr="0069250D" w:rsidRDefault="00D05405" w:rsidP="00D05405">
            <w:pPr>
              <w:spacing w:before="37" w:after="37"/>
              <w:rPr>
                <w:highlight w:val="yellow"/>
              </w:rPr>
            </w:pPr>
            <w:r>
              <w:t>Listening</w:t>
            </w:r>
            <w:r w:rsidRPr="00CF29D5">
              <w:t xml:space="preserve"> Comprehension</w:t>
            </w:r>
          </w:p>
        </w:tc>
        <w:tc>
          <w:tcPr>
            <w:tcW w:w="1621" w:type="dxa"/>
            <w:tcBorders>
              <w:bottom w:val="single" w:sz="4" w:space="0" w:color="FFFFFF"/>
            </w:tcBorders>
            <w:shd w:val="clear" w:color="auto" w:fill="DBE5F1"/>
          </w:tcPr>
          <w:p w14:paraId="6360FA91" w14:textId="77777777" w:rsidR="00D05405" w:rsidRPr="00904452" w:rsidRDefault="00D05405" w:rsidP="00D05405">
            <w:pPr>
              <w:spacing w:before="37" w:after="37"/>
              <w:jc w:val="center"/>
              <w:rPr>
                <w:highlight w:val="yellow"/>
              </w:rPr>
            </w:pPr>
            <w:r>
              <w:t>0.38</w:t>
            </w:r>
            <w:r w:rsidRPr="00904452">
              <w:t xml:space="preserve"> (</w:t>
            </w:r>
            <w:r>
              <w:t>2.09</w:t>
            </w:r>
            <w:r w:rsidRPr="00904452">
              <w:t>)</w:t>
            </w:r>
          </w:p>
        </w:tc>
        <w:tc>
          <w:tcPr>
            <w:tcW w:w="1440" w:type="dxa"/>
            <w:tcBorders>
              <w:bottom w:val="single" w:sz="4" w:space="0" w:color="FFFFFF"/>
            </w:tcBorders>
            <w:shd w:val="clear" w:color="auto" w:fill="DBE5F1"/>
          </w:tcPr>
          <w:p w14:paraId="1A7989E2" w14:textId="77777777" w:rsidR="00D05405" w:rsidRPr="00904452" w:rsidRDefault="00D05405" w:rsidP="00D05405">
            <w:pPr>
              <w:spacing w:before="37" w:after="37"/>
              <w:jc w:val="center"/>
              <w:rPr>
                <w:highlight w:val="yellow"/>
              </w:rPr>
            </w:pPr>
            <w:r w:rsidRPr="004C3EC8">
              <w:rPr>
                <w:highlight w:val="green"/>
              </w:rPr>
              <w:t>0.18 (7%)</w:t>
            </w:r>
          </w:p>
        </w:tc>
        <w:tc>
          <w:tcPr>
            <w:tcW w:w="1556" w:type="dxa"/>
            <w:tcBorders>
              <w:bottom w:val="single" w:sz="4" w:space="0" w:color="FFFFFF"/>
            </w:tcBorders>
            <w:shd w:val="clear" w:color="auto" w:fill="DBE5F1"/>
          </w:tcPr>
          <w:p w14:paraId="43AB6A95" w14:textId="77777777" w:rsidR="00D05405" w:rsidRPr="00904452" w:rsidRDefault="00D05405" w:rsidP="00D05405">
            <w:pPr>
              <w:spacing w:before="37" w:after="37"/>
              <w:jc w:val="center"/>
              <w:rPr>
                <w:highlight w:val="yellow"/>
              </w:rPr>
            </w:pPr>
            <w:r>
              <w:t>0.05</w:t>
            </w:r>
            <w:r w:rsidRPr="00904452">
              <w:t xml:space="preserve"> (</w:t>
            </w:r>
            <w:r>
              <w:t>2.31</w:t>
            </w:r>
            <w:r w:rsidRPr="00904452">
              <w:t>)</w:t>
            </w:r>
          </w:p>
        </w:tc>
        <w:tc>
          <w:tcPr>
            <w:tcW w:w="1451" w:type="dxa"/>
            <w:tcBorders>
              <w:bottom w:val="single" w:sz="4" w:space="0" w:color="FFFFFF"/>
            </w:tcBorders>
            <w:shd w:val="clear" w:color="auto" w:fill="DBE5F1"/>
          </w:tcPr>
          <w:p w14:paraId="2224BAE9" w14:textId="77777777" w:rsidR="00D05405" w:rsidRPr="00904452" w:rsidRDefault="00D05405" w:rsidP="00D05405">
            <w:pPr>
              <w:spacing w:before="37" w:after="37"/>
              <w:jc w:val="center"/>
              <w:rPr>
                <w:highlight w:val="yellow"/>
              </w:rPr>
            </w:pPr>
            <w:r>
              <w:t>0.02 (1</w:t>
            </w:r>
            <w:r w:rsidRPr="00904452">
              <w:t>%)</w:t>
            </w:r>
          </w:p>
        </w:tc>
      </w:tr>
      <w:tr w:rsidR="00D05405" w:rsidRPr="00904452" w14:paraId="02D19AE5" w14:textId="77777777" w:rsidTr="00D05405">
        <w:trPr>
          <w:trHeight w:val="300"/>
          <w:jc w:val="center"/>
        </w:trPr>
        <w:tc>
          <w:tcPr>
            <w:tcW w:w="2927" w:type="dxa"/>
            <w:tcBorders>
              <w:bottom w:val="single" w:sz="4" w:space="0" w:color="FFFFFF"/>
            </w:tcBorders>
            <w:shd w:val="clear" w:color="auto" w:fill="DBE5F1"/>
          </w:tcPr>
          <w:p w14:paraId="40BD32A1" w14:textId="77777777" w:rsidR="00D05405" w:rsidRPr="0069250D" w:rsidRDefault="00D05405" w:rsidP="00D05405">
            <w:pPr>
              <w:spacing w:before="37" w:after="37"/>
              <w:rPr>
                <w:highlight w:val="yellow"/>
              </w:rPr>
            </w:pPr>
            <w:r>
              <w:t>Passage</w:t>
            </w:r>
            <w:r w:rsidRPr="00CF29D5">
              <w:t xml:space="preserve"> Comprehension</w:t>
            </w:r>
          </w:p>
        </w:tc>
        <w:tc>
          <w:tcPr>
            <w:tcW w:w="1621" w:type="dxa"/>
            <w:tcBorders>
              <w:bottom w:val="single" w:sz="4" w:space="0" w:color="FFFFFF"/>
            </w:tcBorders>
            <w:shd w:val="clear" w:color="auto" w:fill="DBE5F1"/>
          </w:tcPr>
          <w:p w14:paraId="354C2920" w14:textId="77777777" w:rsidR="00D05405" w:rsidRPr="00904452" w:rsidRDefault="00D05405" w:rsidP="00D05405">
            <w:pPr>
              <w:spacing w:before="37" w:after="37"/>
              <w:jc w:val="center"/>
              <w:rPr>
                <w:highlight w:val="yellow"/>
              </w:rPr>
            </w:pPr>
            <w:r>
              <w:t>0.23</w:t>
            </w:r>
            <w:r w:rsidRPr="00904452">
              <w:t xml:space="preserve"> (</w:t>
            </w:r>
            <w:r>
              <w:t>4.83</w:t>
            </w:r>
            <w:r w:rsidRPr="00904452">
              <w:t>)</w:t>
            </w:r>
          </w:p>
        </w:tc>
        <w:tc>
          <w:tcPr>
            <w:tcW w:w="1440" w:type="dxa"/>
            <w:tcBorders>
              <w:bottom w:val="single" w:sz="4" w:space="0" w:color="FFFFFF"/>
            </w:tcBorders>
            <w:shd w:val="clear" w:color="auto" w:fill="DBE5F1"/>
          </w:tcPr>
          <w:p w14:paraId="45D273E9" w14:textId="77777777" w:rsidR="00D05405" w:rsidRPr="00904452" w:rsidRDefault="00D05405" w:rsidP="00D05405">
            <w:pPr>
              <w:spacing w:before="37" w:after="37"/>
              <w:jc w:val="center"/>
              <w:rPr>
                <w:highlight w:val="yellow"/>
              </w:rPr>
            </w:pPr>
            <w:r>
              <w:t>0.05 (2</w:t>
            </w:r>
            <w:r w:rsidRPr="00904452">
              <w:t>%)</w:t>
            </w:r>
          </w:p>
        </w:tc>
        <w:tc>
          <w:tcPr>
            <w:tcW w:w="1556" w:type="dxa"/>
            <w:tcBorders>
              <w:bottom w:val="single" w:sz="4" w:space="0" w:color="FFFFFF"/>
            </w:tcBorders>
            <w:shd w:val="clear" w:color="auto" w:fill="DBE5F1"/>
          </w:tcPr>
          <w:p w14:paraId="35B58FD5" w14:textId="77777777" w:rsidR="00D05405" w:rsidRPr="00904452" w:rsidRDefault="00D05405" w:rsidP="00D05405">
            <w:pPr>
              <w:spacing w:before="37" w:after="37"/>
              <w:jc w:val="center"/>
              <w:rPr>
                <w:highlight w:val="yellow"/>
              </w:rPr>
            </w:pPr>
            <w:r>
              <w:t>1.30</w:t>
            </w:r>
            <w:r w:rsidRPr="00904452">
              <w:t xml:space="preserve"> (</w:t>
            </w:r>
            <w:r>
              <w:t>6.36</w:t>
            </w:r>
            <w:r w:rsidRPr="00904452">
              <w:t>)</w:t>
            </w:r>
          </w:p>
        </w:tc>
        <w:tc>
          <w:tcPr>
            <w:tcW w:w="1451" w:type="dxa"/>
            <w:tcBorders>
              <w:bottom w:val="single" w:sz="4" w:space="0" w:color="FFFFFF"/>
            </w:tcBorders>
            <w:shd w:val="clear" w:color="auto" w:fill="DBE5F1"/>
          </w:tcPr>
          <w:p w14:paraId="115B9E39" w14:textId="77777777" w:rsidR="00D05405" w:rsidRPr="00904452" w:rsidRDefault="00D05405" w:rsidP="00D05405">
            <w:pPr>
              <w:spacing w:before="37" w:after="37"/>
              <w:jc w:val="center"/>
              <w:rPr>
                <w:highlight w:val="yellow"/>
              </w:rPr>
            </w:pPr>
            <w:r w:rsidRPr="004C3EC8">
              <w:rPr>
                <w:highlight w:val="green"/>
              </w:rPr>
              <w:t>0.20 (8%)</w:t>
            </w:r>
          </w:p>
        </w:tc>
      </w:tr>
      <w:tr w:rsidR="00D05405" w:rsidRPr="00904452" w14:paraId="5E945BEE" w14:textId="77777777" w:rsidTr="00D05405">
        <w:trPr>
          <w:trHeight w:val="210"/>
          <w:jc w:val="center"/>
        </w:trPr>
        <w:tc>
          <w:tcPr>
            <w:tcW w:w="2927" w:type="dxa"/>
            <w:tcBorders>
              <w:bottom w:val="single" w:sz="4" w:space="0" w:color="FFFFFF"/>
            </w:tcBorders>
            <w:shd w:val="clear" w:color="auto" w:fill="DBE5F1"/>
          </w:tcPr>
          <w:p w14:paraId="3E3000C8" w14:textId="77777777" w:rsidR="00D05405" w:rsidRPr="0069250D" w:rsidRDefault="00D05405" w:rsidP="00D05405">
            <w:pPr>
              <w:spacing w:before="37" w:after="37"/>
              <w:rPr>
                <w:highlight w:val="yellow"/>
              </w:rPr>
            </w:pPr>
            <w:r>
              <w:t>Total Comprehension</w:t>
            </w:r>
          </w:p>
        </w:tc>
        <w:tc>
          <w:tcPr>
            <w:tcW w:w="1621" w:type="dxa"/>
            <w:tcBorders>
              <w:bottom w:val="single" w:sz="4" w:space="0" w:color="FFFFFF"/>
            </w:tcBorders>
            <w:shd w:val="clear" w:color="auto" w:fill="DBE5F1"/>
          </w:tcPr>
          <w:p w14:paraId="529ADE56" w14:textId="77777777" w:rsidR="00D05405" w:rsidRPr="00904452" w:rsidRDefault="00D05405" w:rsidP="00D05405">
            <w:pPr>
              <w:spacing w:before="37" w:after="37"/>
              <w:jc w:val="center"/>
              <w:rPr>
                <w:highlight w:val="yellow"/>
              </w:rPr>
            </w:pPr>
            <w:r>
              <w:t>0.08</w:t>
            </w:r>
            <w:r w:rsidRPr="00904452">
              <w:t xml:space="preserve"> (</w:t>
            </w:r>
            <w:r>
              <w:t>5.97</w:t>
            </w:r>
            <w:r w:rsidRPr="00904452">
              <w:t>)</w:t>
            </w:r>
          </w:p>
        </w:tc>
        <w:tc>
          <w:tcPr>
            <w:tcW w:w="1440" w:type="dxa"/>
            <w:tcBorders>
              <w:bottom w:val="single" w:sz="4" w:space="0" w:color="FFFFFF"/>
            </w:tcBorders>
            <w:shd w:val="clear" w:color="auto" w:fill="DBE5F1"/>
          </w:tcPr>
          <w:p w14:paraId="1A506661" w14:textId="77777777" w:rsidR="00D05405" w:rsidRPr="00904452" w:rsidRDefault="00D05405" w:rsidP="00D05405">
            <w:pPr>
              <w:spacing w:before="37" w:after="37"/>
              <w:jc w:val="center"/>
              <w:rPr>
                <w:highlight w:val="yellow"/>
              </w:rPr>
            </w:pPr>
            <w:r w:rsidRPr="00904452">
              <w:t>0.</w:t>
            </w:r>
            <w:r>
              <w:t>01 (1</w:t>
            </w:r>
            <w:r w:rsidRPr="00904452">
              <w:t>%)</w:t>
            </w:r>
          </w:p>
        </w:tc>
        <w:tc>
          <w:tcPr>
            <w:tcW w:w="1556" w:type="dxa"/>
            <w:tcBorders>
              <w:bottom w:val="single" w:sz="4" w:space="0" w:color="FFFFFF"/>
            </w:tcBorders>
            <w:shd w:val="clear" w:color="auto" w:fill="DBE5F1"/>
          </w:tcPr>
          <w:p w14:paraId="1974689D" w14:textId="77777777" w:rsidR="00D05405" w:rsidRPr="00904452" w:rsidRDefault="00D05405" w:rsidP="00D05405">
            <w:pPr>
              <w:spacing w:before="37" w:after="37"/>
              <w:jc w:val="center"/>
              <w:rPr>
                <w:highlight w:val="yellow"/>
              </w:rPr>
            </w:pPr>
            <w:r>
              <w:t>2.07</w:t>
            </w:r>
            <w:r w:rsidRPr="00904452">
              <w:t xml:space="preserve"> (</w:t>
            </w:r>
            <w:r>
              <w:t>8.31</w:t>
            </w:r>
            <w:r w:rsidRPr="00904452">
              <w:t>)</w:t>
            </w:r>
          </w:p>
        </w:tc>
        <w:tc>
          <w:tcPr>
            <w:tcW w:w="1451" w:type="dxa"/>
            <w:tcBorders>
              <w:bottom w:val="single" w:sz="4" w:space="0" w:color="FFFFFF"/>
            </w:tcBorders>
            <w:shd w:val="clear" w:color="auto" w:fill="DBE5F1"/>
          </w:tcPr>
          <w:p w14:paraId="21DE0C8E" w14:textId="77777777" w:rsidR="00D05405" w:rsidRPr="00904452" w:rsidRDefault="00D05405" w:rsidP="00D05405">
            <w:pPr>
              <w:spacing w:before="37" w:after="37"/>
              <w:jc w:val="center"/>
              <w:rPr>
                <w:highlight w:val="yellow"/>
              </w:rPr>
            </w:pPr>
            <w:r w:rsidRPr="003F47B3">
              <w:rPr>
                <w:highlight w:val="green"/>
              </w:rPr>
              <w:t>0.25 (10%)</w:t>
            </w:r>
          </w:p>
        </w:tc>
      </w:tr>
      <w:tr w:rsidR="00D05405" w14:paraId="1F53417D" w14:textId="77777777" w:rsidTr="00D05405">
        <w:trPr>
          <w:trHeight w:val="210"/>
          <w:jc w:val="center"/>
        </w:trPr>
        <w:tc>
          <w:tcPr>
            <w:tcW w:w="8995" w:type="dxa"/>
            <w:gridSpan w:val="5"/>
            <w:tcBorders>
              <w:top w:val="single" w:sz="4" w:space="0" w:color="FFFFFF"/>
            </w:tcBorders>
            <w:shd w:val="clear" w:color="auto" w:fill="DBE5F1"/>
          </w:tcPr>
          <w:p w14:paraId="7C97AA13" w14:textId="77777777" w:rsidR="00D05405" w:rsidRPr="00CA563B" w:rsidRDefault="00D05405" w:rsidP="00D05405">
            <w:pPr>
              <w:spacing w:before="40" w:after="40"/>
              <w:rPr>
                <w:color w:val="000000" w:themeColor="text1"/>
                <w:sz w:val="16"/>
                <w:szCs w:val="16"/>
              </w:rPr>
            </w:pPr>
            <w:r w:rsidRPr="00CA563B">
              <w:rPr>
                <w:color w:val="000000" w:themeColor="text1"/>
                <w:sz w:val="16"/>
                <w:szCs w:val="16"/>
              </w:rPr>
              <w:t>Numeric effect Size = group mean gain score difference / comparison group gain score standard deviation</w:t>
            </w:r>
          </w:p>
          <w:p w14:paraId="61649B54" w14:textId="77777777" w:rsidR="00D05405" w:rsidRPr="00CA563B" w:rsidRDefault="00D05405" w:rsidP="00D05405">
            <w:pPr>
              <w:spacing w:before="40" w:after="40"/>
              <w:rPr>
                <w:color w:val="000000" w:themeColor="text1"/>
                <w:sz w:val="16"/>
                <w:szCs w:val="16"/>
              </w:rPr>
            </w:pPr>
            <w:r w:rsidRPr="00CA563B">
              <w:rPr>
                <w:color w:val="000000" w:themeColor="text1"/>
                <w:sz w:val="16"/>
                <w:szCs w:val="16"/>
              </w:rPr>
              <w:t>Percent effect size = difference in percentile rank for the median iLit group gain score in relation to the comparison group’s scores</w:t>
            </w:r>
          </w:p>
          <w:p w14:paraId="6BA7CC3D" w14:textId="77777777" w:rsidR="00D05405" w:rsidRPr="000C36CE" w:rsidRDefault="00D05405" w:rsidP="00D05405">
            <w:pPr>
              <w:spacing w:before="40" w:after="40"/>
              <w:rPr>
                <w:color w:val="000000" w:themeColor="text1"/>
                <w:sz w:val="16"/>
                <w:szCs w:val="16"/>
                <w:highlight w:val="green"/>
              </w:rPr>
            </w:pPr>
            <w:r>
              <w:rPr>
                <w:color w:val="000000" w:themeColor="text1"/>
                <w:sz w:val="16"/>
                <w:szCs w:val="16"/>
                <w:highlight w:val="green"/>
              </w:rPr>
              <w:t>GREEN</w:t>
            </w:r>
            <w:r w:rsidRPr="000C36CE">
              <w:rPr>
                <w:color w:val="000000" w:themeColor="text1"/>
                <w:sz w:val="16"/>
                <w:szCs w:val="16"/>
              </w:rPr>
              <w:t xml:space="preserve"> highlighting indicates p-value is &lt; 0.05 and two-sided statistical test is significant</w:t>
            </w:r>
          </w:p>
        </w:tc>
      </w:tr>
    </w:tbl>
    <w:p w14:paraId="58041FAA" w14:textId="77777777" w:rsidR="00D05405" w:rsidRDefault="00D05405" w:rsidP="00D05405">
      <w:pPr>
        <w:jc w:val="both"/>
        <w:rPr>
          <w:color w:val="000000"/>
        </w:rPr>
      </w:pPr>
    </w:p>
    <w:p w14:paraId="5286F0C2" w14:textId="77777777" w:rsidR="00CB0320" w:rsidRDefault="00CB0320" w:rsidP="00CB0320">
      <w:pPr>
        <w:jc w:val="both"/>
        <w:rPr>
          <w:color w:val="000000"/>
        </w:rPr>
      </w:pPr>
    </w:p>
    <w:p w14:paraId="728FBF3B" w14:textId="77777777" w:rsidR="005378EA" w:rsidRDefault="005378EA" w:rsidP="00CB0320">
      <w:pPr>
        <w:jc w:val="both"/>
        <w:rPr>
          <w:color w:val="000000"/>
        </w:rPr>
      </w:pPr>
    </w:p>
    <w:p w14:paraId="0FA82416" w14:textId="77777777" w:rsidR="005378EA" w:rsidRDefault="005378EA" w:rsidP="00CB0320">
      <w:pPr>
        <w:jc w:val="both"/>
        <w:rPr>
          <w:color w:val="000000"/>
        </w:rPr>
      </w:pPr>
    </w:p>
    <w:p w14:paraId="30CE1AF3" w14:textId="77777777" w:rsidR="00CB0320" w:rsidRDefault="00CB0320" w:rsidP="00CB0320">
      <w:pPr>
        <w:jc w:val="both"/>
        <w:rPr>
          <w:color w:val="000000"/>
        </w:rPr>
      </w:pPr>
    </w:p>
    <w:p w14:paraId="4CA16D6A" w14:textId="77777777" w:rsidR="00AF4BA2" w:rsidRDefault="00AF4BA2">
      <w:pPr>
        <w:rPr>
          <w:color w:val="000000"/>
        </w:rPr>
      </w:pPr>
    </w:p>
    <w:p w14:paraId="67EF6B86" w14:textId="77777777" w:rsidR="00020C86" w:rsidRDefault="00020C86">
      <w:r>
        <w:br w:type="page"/>
      </w:r>
    </w:p>
    <w:p w14:paraId="66FCE2B9" w14:textId="77777777" w:rsidR="00B81893" w:rsidRDefault="00B81893" w:rsidP="00B81893">
      <w:r w:rsidRPr="00AD2A2B">
        <w:lastRenderedPageBreak/>
        <w:t>Figure 1.</w:t>
      </w:r>
      <w:r w:rsidR="00DD75EA" w:rsidRPr="00AD2A2B">
        <w:tab/>
        <w:t xml:space="preserve">        </w:t>
      </w:r>
      <w:r w:rsidRPr="00AD2A2B">
        <w:rPr>
          <w:color w:val="000000"/>
        </w:rPr>
        <w:t xml:space="preserve">Group Gain Comparisons for </w:t>
      </w:r>
      <w:r w:rsidR="00DD75EA" w:rsidRPr="00AD2A2B">
        <w:rPr>
          <w:color w:val="000000"/>
        </w:rPr>
        <w:t xml:space="preserve">Literacy </w:t>
      </w:r>
      <w:r w:rsidRPr="00AD2A2B">
        <w:t>Achievement Outcomes</w:t>
      </w:r>
    </w:p>
    <w:p w14:paraId="0E92B464" w14:textId="77777777" w:rsidR="00B81893" w:rsidRDefault="00B81893" w:rsidP="00B81893">
      <w:pPr>
        <w:ind w:right="180"/>
        <w:rPr>
          <w:rFonts w:ascii="Calibri" w:hAnsi="Calibri"/>
          <w:sz w:val="22"/>
          <w:szCs w:val="22"/>
        </w:rPr>
      </w:pPr>
    </w:p>
    <w:bookmarkStart w:id="2" w:name="_MON_1504183624"/>
    <w:bookmarkEnd w:id="2"/>
    <w:p w14:paraId="2D1F2A5C" w14:textId="77777777" w:rsidR="00B81893" w:rsidRDefault="00B81893" w:rsidP="00B81893">
      <w:pPr>
        <w:ind w:right="180"/>
        <w:rPr>
          <w:rFonts w:ascii="Calibri" w:hAnsi="Calibri"/>
          <w:sz w:val="22"/>
          <w:szCs w:val="22"/>
        </w:rPr>
      </w:pPr>
      <w:r w:rsidRPr="003E1CC5">
        <w:rPr>
          <w:rFonts w:ascii="Calibri" w:hAnsi="Calibri"/>
          <w:sz w:val="22"/>
          <w:szCs w:val="22"/>
        </w:rPr>
        <w:object w:dxaOrig="7695" w:dyaOrig="4515" w14:anchorId="7CEB9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80pt" o:ole="">
            <v:imagedata r:id="rId18" o:title=""/>
            <o:lock v:ext="edit" aspectratio="f"/>
          </v:shape>
          <o:OLEObject Type="Embed" ProgID="Excel.Sheet.12" ShapeID="_x0000_i1025" DrawAspect="Content" ObjectID="_1516715763" r:id="rId19"/>
        </w:object>
      </w:r>
      <w:bookmarkStart w:id="3" w:name="_MON_1504183773"/>
      <w:bookmarkEnd w:id="3"/>
      <w:r w:rsidRPr="003E1CC5">
        <w:rPr>
          <w:rFonts w:ascii="Calibri" w:hAnsi="Calibri"/>
          <w:sz w:val="22"/>
          <w:szCs w:val="22"/>
        </w:rPr>
        <w:object w:dxaOrig="7695" w:dyaOrig="4515" w14:anchorId="75C0EBE7">
          <v:shape id="_x0000_i1026" type="#_x0000_t75" style="width:229.5pt;height:180pt" o:ole="">
            <v:imagedata r:id="rId20" o:title=""/>
            <o:lock v:ext="edit" aspectratio="f"/>
          </v:shape>
          <o:OLEObject Type="Embed" ProgID="Excel.Sheet.12" ShapeID="_x0000_i1026" DrawAspect="Content" ObjectID="_1516715764" r:id="rId21"/>
        </w:object>
      </w:r>
    </w:p>
    <w:p w14:paraId="1FA8D095" w14:textId="77777777" w:rsidR="00B81893" w:rsidRDefault="00B81893" w:rsidP="00B81893">
      <w:pPr>
        <w:ind w:right="180"/>
        <w:rPr>
          <w:rFonts w:ascii="Calibri" w:hAnsi="Calibri"/>
          <w:sz w:val="22"/>
          <w:szCs w:val="22"/>
        </w:rPr>
      </w:pPr>
    </w:p>
    <w:bookmarkStart w:id="4" w:name="_MON_1503920212"/>
    <w:bookmarkEnd w:id="4"/>
    <w:p w14:paraId="2A56B0B5" w14:textId="77777777" w:rsidR="00B81893" w:rsidRDefault="00B81893" w:rsidP="00B81893">
      <w:pPr>
        <w:ind w:right="180"/>
        <w:rPr>
          <w:rFonts w:ascii="Calibri" w:hAnsi="Calibri"/>
          <w:sz w:val="22"/>
          <w:szCs w:val="22"/>
        </w:rPr>
      </w:pPr>
      <w:r w:rsidRPr="003E1CC5">
        <w:rPr>
          <w:rFonts w:ascii="Calibri" w:hAnsi="Calibri"/>
          <w:sz w:val="22"/>
          <w:szCs w:val="22"/>
        </w:rPr>
        <w:object w:dxaOrig="7695" w:dyaOrig="4515" w14:anchorId="05270105">
          <v:shape id="_x0000_i1027" type="#_x0000_t75" style="width:229.5pt;height:180pt" o:ole="">
            <v:imagedata r:id="rId22" o:title=""/>
            <o:lock v:ext="edit" aspectratio="f"/>
          </v:shape>
          <o:OLEObject Type="Embed" ProgID="Excel.Sheet.12" ShapeID="_x0000_i1027" DrawAspect="Content" ObjectID="_1516715765" r:id="rId23"/>
        </w:object>
      </w:r>
      <w:bookmarkStart w:id="5" w:name="_MON_1503920301"/>
      <w:bookmarkEnd w:id="5"/>
      <w:r w:rsidRPr="003E1CC5">
        <w:rPr>
          <w:rFonts w:ascii="Calibri" w:hAnsi="Calibri"/>
          <w:sz w:val="22"/>
          <w:szCs w:val="22"/>
        </w:rPr>
        <w:object w:dxaOrig="7695" w:dyaOrig="4515" w14:anchorId="445ED949">
          <v:shape id="_x0000_i1028" type="#_x0000_t75" style="width:229.5pt;height:180pt" o:ole="">
            <v:imagedata r:id="rId24" o:title=""/>
            <o:lock v:ext="edit" aspectratio="f"/>
          </v:shape>
          <o:OLEObject Type="Embed" ProgID="Excel.Sheet.12" ShapeID="_x0000_i1028" DrawAspect="Content" ObjectID="_1516715766" r:id="rId25"/>
        </w:object>
      </w:r>
    </w:p>
    <w:p w14:paraId="5AC5DBA8" w14:textId="77777777" w:rsidR="00B81893" w:rsidRDefault="00B81893" w:rsidP="00B81893">
      <w:pPr>
        <w:ind w:right="180"/>
        <w:rPr>
          <w:rFonts w:ascii="Calibri" w:hAnsi="Calibri"/>
          <w:sz w:val="22"/>
          <w:szCs w:val="22"/>
        </w:rPr>
      </w:pPr>
    </w:p>
    <w:bookmarkStart w:id="6" w:name="_MON_1503870097"/>
    <w:bookmarkEnd w:id="6"/>
    <w:p w14:paraId="738895F1" w14:textId="77777777" w:rsidR="00B81893" w:rsidRDefault="00B81893" w:rsidP="00B81893">
      <w:r w:rsidRPr="003E1CC5">
        <w:rPr>
          <w:rFonts w:ascii="Calibri" w:hAnsi="Calibri"/>
          <w:sz w:val="22"/>
          <w:szCs w:val="22"/>
        </w:rPr>
        <w:object w:dxaOrig="7695" w:dyaOrig="4515" w14:anchorId="05C28F67">
          <v:shape id="_x0000_i1029" type="#_x0000_t75" style="width:229.5pt;height:180pt" o:ole="">
            <v:imagedata r:id="rId26" o:title=""/>
            <o:lock v:ext="edit" aspectratio="f"/>
          </v:shape>
          <o:OLEObject Type="Embed" ProgID="Excel.Sheet.12" ShapeID="_x0000_i1029" DrawAspect="Content" ObjectID="_1516715767" r:id="rId27"/>
        </w:object>
      </w:r>
      <w:bookmarkStart w:id="7" w:name="_MON_1503870209"/>
      <w:bookmarkEnd w:id="7"/>
      <w:r w:rsidRPr="003E1CC5">
        <w:rPr>
          <w:rFonts w:ascii="Calibri" w:hAnsi="Calibri"/>
          <w:sz w:val="22"/>
          <w:szCs w:val="22"/>
        </w:rPr>
        <w:object w:dxaOrig="7695" w:dyaOrig="4515" w14:anchorId="140419A5">
          <v:shape id="_x0000_i1030" type="#_x0000_t75" style="width:229.5pt;height:180pt" o:ole="">
            <v:imagedata r:id="rId28" o:title=""/>
            <o:lock v:ext="edit" aspectratio="f"/>
          </v:shape>
          <o:OLEObject Type="Embed" ProgID="Excel.Sheet.12" ShapeID="_x0000_i1030" DrawAspect="Content" ObjectID="_1516715768" r:id="rId29"/>
        </w:object>
      </w:r>
    </w:p>
    <w:p w14:paraId="59ED3D8E" w14:textId="77777777" w:rsidR="00B81893" w:rsidRDefault="00B81893" w:rsidP="00B81893">
      <w:pPr>
        <w:ind w:left="2880" w:firstLine="720"/>
      </w:pPr>
    </w:p>
    <w:p w14:paraId="7D5F45ED" w14:textId="77777777" w:rsidR="00B81893" w:rsidRDefault="00B81893" w:rsidP="00B81893">
      <w:pPr>
        <w:ind w:left="2880" w:firstLine="720"/>
      </w:pPr>
      <w:r>
        <w:rPr>
          <w:noProof/>
          <w:lang w:eastAsia="zh-CN"/>
        </w:rPr>
        <mc:AlternateContent>
          <mc:Choice Requires="wps">
            <w:drawing>
              <wp:anchor distT="0" distB="0" distL="114300" distR="114300" simplePos="0" relativeHeight="251665408" behindDoc="0" locked="0" layoutInCell="1" allowOverlap="1" wp14:anchorId="7C587D65" wp14:editId="69CF7D35">
                <wp:simplePos x="0" y="0"/>
                <wp:positionH relativeFrom="column">
                  <wp:posOffset>1991218</wp:posOffset>
                </wp:positionH>
                <wp:positionV relativeFrom="paragraph">
                  <wp:posOffset>42545</wp:posOffset>
                </wp:positionV>
                <wp:extent cx="189865" cy="90805"/>
                <wp:effectExtent l="10160" t="13335" r="952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90805"/>
                        </a:xfrm>
                        <a:prstGeom prst="rect">
                          <a:avLst/>
                        </a:prstGeom>
                        <a:solidFill>
                          <a:srgbClr val="4F81BD"/>
                        </a:solidFill>
                        <a:ln w="9525">
                          <a:solidFill>
                            <a:srgbClr val="000000"/>
                          </a:solidFill>
                          <a:miter lim="800000"/>
                          <a:headEnd/>
                          <a:tailEnd/>
                        </a:ln>
                      </wps:spPr>
                      <wps:txbx>
                        <w:txbxContent>
                          <w:p w14:paraId="2B6797A4" w14:textId="77777777" w:rsidR="0054668A" w:rsidRDefault="0054668A" w:rsidP="00B818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587D65" id="_x0000_t202" coordsize="21600,21600" o:spt="202" path="m,l,21600r21600,l21600,xe">
                <v:stroke joinstyle="miter"/>
                <v:path gradientshapeok="t" o:connecttype="rect"/>
              </v:shapetype>
              <v:shape id="Text Box 8" o:spid="_x0000_s1026" type="#_x0000_t202" style="position:absolute;left:0;text-align:left;margin-left:156.8pt;margin-top:3.35pt;width:14.9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" fillcolor="#4f81bd">
                <v:textbox>
                  <w:txbxContent>
                    <w:p w14:paraId="2B6797A4" w14:textId="77777777" w:rsidR="0054668A" w:rsidRDefault="0054668A" w:rsidP="00B81893"/>
                  </w:txbxContent>
                </v:textbox>
              </v:shape>
            </w:pict>
          </mc:Fallback>
        </mc:AlternateContent>
      </w:r>
      <w:r>
        <w:rPr>
          <w:noProof/>
          <w:lang w:eastAsia="zh-CN"/>
        </w:rPr>
        <mc:AlternateContent>
          <mc:Choice Requires="wps">
            <w:drawing>
              <wp:anchor distT="0" distB="0" distL="114300" distR="114300" simplePos="0" relativeHeight="251664384" behindDoc="0" locked="0" layoutInCell="1" allowOverlap="1" wp14:anchorId="58033B49" wp14:editId="0F0641FB">
                <wp:simplePos x="0" y="0"/>
                <wp:positionH relativeFrom="column">
                  <wp:posOffset>2969260</wp:posOffset>
                </wp:positionH>
                <wp:positionV relativeFrom="paragraph">
                  <wp:posOffset>36830</wp:posOffset>
                </wp:positionV>
                <wp:extent cx="189865" cy="90805"/>
                <wp:effectExtent l="6985" t="7620" r="1270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90805"/>
                        </a:xfrm>
                        <a:prstGeom prst="rect">
                          <a:avLst/>
                        </a:prstGeom>
                        <a:solidFill>
                          <a:srgbClr val="C0504D"/>
                        </a:solidFill>
                        <a:ln w="9525">
                          <a:solidFill>
                            <a:srgbClr val="000000"/>
                          </a:solidFill>
                          <a:miter lim="800000"/>
                          <a:headEnd/>
                          <a:tailEnd/>
                        </a:ln>
                      </wps:spPr>
                      <wps:txbx>
                        <w:txbxContent>
                          <w:p w14:paraId="3B2D3FA4" w14:textId="77777777" w:rsidR="0054668A" w:rsidRDefault="0054668A" w:rsidP="00B818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8033B49" id="Text Box 9" o:spid="_x0000_s1027" type="#_x0000_t202" style="position:absolute;left:0;text-align:left;margin-left:233.8pt;margin-top:2.9pt;width:14.9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" fillcolor="#c0504d">
                <v:textbox>
                  <w:txbxContent>
                    <w:p w14:paraId="3B2D3FA4" w14:textId="77777777" w:rsidR="0054668A" w:rsidRDefault="0054668A" w:rsidP="00B81893"/>
                  </w:txbxContent>
                </v:textbox>
              </v:shape>
            </w:pict>
          </mc:Fallback>
        </mc:AlternateContent>
      </w:r>
      <w:r>
        <w:t>iLit</w:t>
      </w:r>
      <w:r>
        <w:tab/>
      </w:r>
      <w:r>
        <w:tab/>
        <w:t>Comparison</w:t>
      </w:r>
    </w:p>
    <w:p w14:paraId="4B0A9107" w14:textId="77777777" w:rsidR="00B81893" w:rsidRDefault="00B81893" w:rsidP="00B81893">
      <w:pPr>
        <w:ind w:right="180"/>
        <w:rPr>
          <w:rFonts w:ascii="Calibri" w:hAnsi="Calibri"/>
          <w:sz w:val="22"/>
          <w:szCs w:val="22"/>
        </w:rPr>
      </w:pPr>
    </w:p>
    <w:p w14:paraId="6F6AA42A" w14:textId="77777777" w:rsidR="00B81893" w:rsidRDefault="00B81893" w:rsidP="00B81893">
      <w:pPr>
        <w:ind w:right="180"/>
        <w:rPr>
          <w:rFonts w:ascii="Calibri" w:hAnsi="Calibri"/>
          <w:sz w:val="22"/>
          <w:szCs w:val="22"/>
        </w:rPr>
      </w:pPr>
    </w:p>
    <w:bookmarkStart w:id="8" w:name="_MON_1503920762"/>
    <w:bookmarkEnd w:id="8"/>
    <w:p w14:paraId="6928CB4D" w14:textId="77777777" w:rsidR="00B81893" w:rsidRDefault="00B81893" w:rsidP="00B81893">
      <w:pPr>
        <w:ind w:right="180"/>
        <w:rPr>
          <w:rFonts w:ascii="Calibri" w:hAnsi="Calibri"/>
          <w:sz w:val="22"/>
          <w:szCs w:val="22"/>
        </w:rPr>
      </w:pPr>
      <w:r w:rsidRPr="003E1CC5">
        <w:rPr>
          <w:rFonts w:ascii="Calibri" w:hAnsi="Calibri"/>
          <w:sz w:val="22"/>
          <w:szCs w:val="22"/>
        </w:rPr>
        <w:object w:dxaOrig="7695" w:dyaOrig="4515" w14:anchorId="7E1DE138">
          <v:shape id="_x0000_i1031" type="#_x0000_t75" style="width:229.5pt;height:180pt" o:ole="">
            <v:imagedata r:id="rId30" o:title=""/>
            <o:lock v:ext="edit" aspectratio="f"/>
          </v:shape>
          <o:OLEObject Type="Embed" ProgID="Excel.Sheet.12" ShapeID="_x0000_i1031" DrawAspect="Content" ObjectID="_1516715769" r:id="rId31"/>
        </w:object>
      </w:r>
      <w:bookmarkStart w:id="9" w:name="_MON_1503920877"/>
      <w:bookmarkEnd w:id="9"/>
      <w:r w:rsidRPr="003E1CC5">
        <w:rPr>
          <w:rFonts w:ascii="Calibri" w:hAnsi="Calibri"/>
          <w:sz w:val="22"/>
          <w:szCs w:val="22"/>
        </w:rPr>
        <w:object w:dxaOrig="7695" w:dyaOrig="4515" w14:anchorId="5B561388">
          <v:shape id="_x0000_i1032" type="#_x0000_t75" style="width:229.5pt;height:180pt" o:ole="">
            <v:imagedata r:id="rId32" o:title=""/>
            <o:lock v:ext="edit" aspectratio="f"/>
          </v:shape>
          <o:OLEObject Type="Embed" ProgID="Excel.Sheet.12" ShapeID="_x0000_i1032" DrawAspect="Content" ObjectID="_1516715770" r:id="rId33"/>
        </w:object>
      </w:r>
    </w:p>
    <w:p w14:paraId="5D0C467A" w14:textId="77777777" w:rsidR="00B81893" w:rsidRDefault="00B81893" w:rsidP="00B81893">
      <w:pPr>
        <w:ind w:right="180"/>
      </w:pPr>
    </w:p>
    <w:p w14:paraId="3AF899AD" w14:textId="77777777" w:rsidR="00B81893" w:rsidRDefault="00B81893" w:rsidP="00B81893">
      <w:pPr>
        <w:rPr>
          <w:rFonts w:ascii="Calibri" w:hAnsi="Calibri"/>
          <w:sz w:val="22"/>
          <w:szCs w:val="22"/>
        </w:rPr>
      </w:pPr>
      <w:bookmarkStart w:id="10" w:name="_MON_1503919108"/>
      <w:bookmarkEnd w:id="10"/>
      <w:r>
        <w:rPr>
          <w:rFonts w:ascii="Calibri" w:hAnsi="Calibri"/>
          <w:noProof/>
          <w:sz w:val="22"/>
          <w:szCs w:val="22"/>
          <w:lang w:eastAsia="zh-CN"/>
        </w:rPr>
        <w:drawing>
          <wp:inline distT="0" distB="0" distL="0" distR="0" wp14:anchorId="103841B8" wp14:editId="593DE63E">
            <wp:extent cx="2906395" cy="22860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06395" cy="2286000"/>
                    </a:xfrm>
                    <a:prstGeom prst="rect">
                      <a:avLst/>
                    </a:prstGeom>
                    <a:noFill/>
                    <a:ln>
                      <a:noFill/>
                    </a:ln>
                  </pic:spPr>
                </pic:pic>
              </a:graphicData>
            </a:graphic>
          </wp:inline>
        </w:drawing>
      </w:r>
      <w:bookmarkStart w:id="11" w:name="_MON_1503919368"/>
      <w:bookmarkEnd w:id="11"/>
      <w:r w:rsidRPr="003E1CC5">
        <w:rPr>
          <w:rFonts w:ascii="Calibri" w:hAnsi="Calibri"/>
          <w:sz w:val="22"/>
          <w:szCs w:val="22"/>
        </w:rPr>
        <w:object w:dxaOrig="7695" w:dyaOrig="4515" w14:anchorId="36B6AD6B">
          <v:shape id="_x0000_i1033" type="#_x0000_t75" style="width:229.5pt;height:180pt" o:ole="">
            <v:imagedata r:id="rId35" o:title=""/>
            <o:lock v:ext="edit" aspectratio="f"/>
          </v:shape>
          <o:OLEObject Type="Embed" ProgID="Excel.Sheet.12" ShapeID="_x0000_i1033" DrawAspect="Content" ObjectID="_1516715771" r:id="rId36"/>
        </w:object>
      </w:r>
    </w:p>
    <w:p w14:paraId="6E2C5624" w14:textId="77777777" w:rsidR="00B81893" w:rsidRDefault="00B81893" w:rsidP="00B81893">
      <w:pPr>
        <w:rPr>
          <w:rFonts w:ascii="Calibri" w:hAnsi="Calibri"/>
          <w:sz w:val="22"/>
          <w:szCs w:val="22"/>
        </w:rPr>
      </w:pPr>
    </w:p>
    <w:bookmarkStart w:id="12" w:name="_MON_1503919573"/>
    <w:bookmarkEnd w:id="12"/>
    <w:p w14:paraId="35F18A2E" w14:textId="77777777" w:rsidR="00B81893" w:rsidRDefault="00B81893" w:rsidP="00B81893">
      <w:pPr>
        <w:rPr>
          <w:rFonts w:ascii="Calibri" w:hAnsi="Calibri"/>
          <w:sz w:val="22"/>
          <w:szCs w:val="22"/>
        </w:rPr>
      </w:pPr>
      <w:r w:rsidRPr="003E1CC5">
        <w:rPr>
          <w:rFonts w:ascii="Calibri" w:hAnsi="Calibri"/>
          <w:sz w:val="22"/>
          <w:szCs w:val="22"/>
        </w:rPr>
        <w:object w:dxaOrig="7695" w:dyaOrig="4515" w14:anchorId="1927B3FF">
          <v:shape id="_x0000_i1034" type="#_x0000_t75" style="width:229.5pt;height:180pt" o:ole="">
            <v:imagedata r:id="rId37" o:title=""/>
            <o:lock v:ext="edit" aspectratio="f"/>
          </v:shape>
          <o:OLEObject Type="Embed" ProgID="Excel.Sheet.12" ShapeID="_x0000_i1034" DrawAspect="Content" ObjectID="_1516715772" r:id="rId38"/>
        </w:object>
      </w:r>
      <w:bookmarkStart w:id="13" w:name="_MON_1503919694"/>
      <w:bookmarkEnd w:id="13"/>
      <w:r w:rsidRPr="003E1CC5">
        <w:rPr>
          <w:rFonts w:ascii="Calibri" w:hAnsi="Calibri"/>
          <w:sz w:val="22"/>
          <w:szCs w:val="22"/>
        </w:rPr>
        <w:object w:dxaOrig="7695" w:dyaOrig="4515" w14:anchorId="2330F41D">
          <v:shape id="_x0000_i1035" type="#_x0000_t75" style="width:229.5pt;height:180pt" o:ole="">
            <v:imagedata r:id="rId39" o:title=""/>
            <o:lock v:ext="edit" aspectratio="f"/>
          </v:shape>
          <o:OLEObject Type="Embed" ProgID="Excel.Sheet.12" ShapeID="_x0000_i1035" DrawAspect="Content" ObjectID="_1516715773" r:id="rId40"/>
        </w:object>
      </w:r>
    </w:p>
    <w:p w14:paraId="0E4EDE28" w14:textId="77777777" w:rsidR="00B81893" w:rsidRDefault="00B81893" w:rsidP="00B81893"/>
    <w:p w14:paraId="02AD5709" w14:textId="77777777" w:rsidR="00B81893" w:rsidRDefault="00B81893" w:rsidP="00B81893">
      <w:pPr>
        <w:ind w:left="2880" w:firstLine="720"/>
      </w:pPr>
      <w:r>
        <w:rPr>
          <w:noProof/>
          <w:lang w:eastAsia="zh-CN"/>
        </w:rPr>
        <mc:AlternateContent>
          <mc:Choice Requires="wps">
            <w:drawing>
              <wp:anchor distT="0" distB="0" distL="114300" distR="114300" simplePos="0" relativeHeight="251663360" behindDoc="0" locked="0" layoutInCell="1" allowOverlap="1" wp14:anchorId="2811B209" wp14:editId="49E7D145">
                <wp:simplePos x="0" y="0"/>
                <wp:positionH relativeFrom="column">
                  <wp:posOffset>1991218</wp:posOffset>
                </wp:positionH>
                <wp:positionV relativeFrom="paragraph">
                  <wp:posOffset>42545</wp:posOffset>
                </wp:positionV>
                <wp:extent cx="189865" cy="90805"/>
                <wp:effectExtent l="10160" t="13335" r="952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90805"/>
                        </a:xfrm>
                        <a:prstGeom prst="rect">
                          <a:avLst/>
                        </a:prstGeom>
                        <a:solidFill>
                          <a:srgbClr val="4F81BD"/>
                        </a:solidFill>
                        <a:ln w="9525">
                          <a:solidFill>
                            <a:srgbClr val="000000"/>
                          </a:solidFill>
                          <a:miter lim="800000"/>
                          <a:headEnd/>
                          <a:tailEnd/>
                        </a:ln>
                      </wps:spPr>
                      <wps:txbx>
                        <w:txbxContent>
                          <w:p w14:paraId="65D5C011" w14:textId="77777777" w:rsidR="0054668A" w:rsidRDefault="0054668A" w:rsidP="00B818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811B209" id="Text Box 6" o:spid="_x0000_s1028" type="#_x0000_t202" style="position:absolute;left:0;text-align:left;margin-left:156.8pt;margin-top:3.35pt;width:14.9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" fillcolor="#4f81bd">
                <v:textbox>
                  <w:txbxContent>
                    <w:p w14:paraId="65D5C011" w14:textId="77777777" w:rsidR="0054668A" w:rsidRDefault="0054668A" w:rsidP="00B81893"/>
                  </w:txbxContent>
                </v:textbox>
              </v:shape>
            </w:pict>
          </mc:Fallback>
        </mc:AlternateContent>
      </w:r>
      <w:r>
        <w:rPr>
          <w:noProof/>
          <w:lang w:eastAsia="zh-CN"/>
        </w:rPr>
        <mc:AlternateContent>
          <mc:Choice Requires="wps">
            <w:drawing>
              <wp:anchor distT="0" distB="0" distL="114300" distR="114300" simplePos="0" relativeHeight="251662336" behindDoc="0" locked="0" layoutInCell="1" allowOverlap="1" wp14:anchorId="5D542147" wp14:editId="7F8D7921">
                <wp:simplePos x="0" y="0"/>
                <wp:positionH relativeFrom="column">
                  <wp:posOffset>2969260</wp:posOffset>
                </wp:positionH>
                <wp:positionV relativeFrom="paragraph">
                  <wp:posOffset>36830</wp:posOffset>
                </wp:positionV>
                <wp:extent cx="189865" cy="90805"/>
                <wp:effectExtent l="6985" t="7620" r="1270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90805"/>
                        </a:xfrm>
                        <a:prstGeom prst="rect">
                          <a:avLst/>
                        </a:prstGeom>
                        <a:solidFill>
                          <a:srgbClr val="C0504D"/>
                        </a:solidFill>
                        <a:ln w="9525">
                          <a:solidFill>
                            <a:srgbClr val="000000"/>
                          </a:solidFill>
                          <a:miter lim="800000"/>
                          <a:headEnd/>
                          <a:tailEnd/>
                        </a:ln>
                      </wps:spPr>
                      <wps:txbx>
                        <w:txbxContent>
                          <w:p w14:paraId="3E03C61D" w14:textId="77777777" w:rsidR="0054668A" w:rsidRDefault="0054668A" w:rsidP="00B818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D542147" id="Text Box 5" o:spid="_x0000_s1029" type="#_x0000_t202" style="position:absolute;left:0;text-align:left;margin-left:233.8pt;margin-top:2.9pt;width:14.9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" fillcolor="#c0504d">
                <v:textbox>
                  <w:txbxContent>
                    <w:p w14:paraId="3E03C61D" w14:textId="77777777" w:rsidR="0054668A" w:rsidRDefault="0054668A" w:rsidP="00B81893"/>
                  </w:txbxContent>
                </v:textbox>
              </v:shape>
            </w:pict>
          </mc:Fallback>
        </mc:AlternateContent>
      </w:r>
      <w:r>
        <w:t>iLit</w:t>
      </w:r>
      <w:r>
        <w:tab/>
      </w:r>
      <w:r>
        <w:tab/>
        <w:t>Comparison</w:t>
      </w:r>
    </w:p>
    <w:p w14:paraId="4EF0B814" w14:textId="77777777" w:rsidR="00B81893" w:rsidRDefault="00B81893" w:rsidP="00B81893">
      <w:pPr>
        <w:tabs>
          <w:tab w:val="left" w:pos="3510"/>
        </w:tabs>
        <w:rPr>
          <w:b/>
          <w:highlight w:val="yellow"/>
        </w:rPr>
      </w:pPr>
    </w:p>
    <w:p w14:paraId="03D2BFDF" w14:textId="77777777" w:rsidR="00B67298" w:rsidRDefault="00020C86">
      <w:pPr>
        <w:rPr>
          <w:b/>
          <w:color w:val="FFFF99"/>
          <w:highlight w:val="darkBlue"/>
        </w:rPr>
      </w:pPr>
      <w:r>
        <w:rPr>
          <w:b/>
          <w:color w:val="FFFF99"/>
          <w:highlight w:val="darkBlue"/>
        </w:rPr>
        <w:br w:type="page"/>
      </w:r>
    </w:p>
    <w:p w14:paraId="61ADDA52"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lastRenderedPageBreak/>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659D59BF" w14:textId="77777777" w:rsidR="003D244A" w:rsidRPr="00513D45" w:rsidRDefault="003D244A" w:rsidP="003D7BFE">
      <w:pPr>
        <w:autoSpaceDE w:val="0"/>
        <w:autoSpaceDN w:val="0"/>
        <w:adjustRightInd w:val="0"/>
        <w:rPr>
          <w:b/>
          <w:i/>
          <w:color w:val="000080"/>
          <w:sz w:val="28"/>
          <w:szCs w:val="28"/>
        </w:rPr>
      </w:pPr>
      <w:r w:rsidRPr="00513D45">
        <w:rPr>
          <w:b/>
          <w:i/>
          <w:color w:val="000080"/>
          <w:sz w:val="28"/>
          <w:szCs w:val="28"/>
        </w:rPr>
        <w:t xml:space="preserve">  Student Academic Attitudes</w:t>
      </w:r>
    </w:p>
    <w:p w14:paraId="6088EC0C"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28"/>
          <w:szCs w:val="28"/>
          <w:highlight w:val="darkBlue"/>
        </w:rPr>
        <w:t xml:space="preserve"> </w:t>
      </w:r>
    </w:p>
    <w:p w14:paraId="7FD46544" w14:textId="77777777" w:rsidR="003D244A" w:rsidRDefault="003D244A" w:rsidP="003D7BFE">
      <w:pPr>
        <w:jc w:val="both"/>
        <w:rPr>
          <w:color w:val="000000"/>
        </w:rPr>
      </w:pPr>
    </w:p>
    <w:p w14:paraId="123DEAE6" w14:textId="77777777" w:rsidR="003D244A" w:rsidRPr="00300143" w:rsidRDefault="003D244A" w:rsidP="003D7BFE">
      <w:pPr>
        <w:jc w:val="both"/>
      </w:pPr>
      <w:r w:rsidRPr="00300143">
        <w:t>This section will attempt to answer research question three:</w:t>
      </w:r>
    </w:p>
    <w:p w14:paraId="6C694382" w14:textId="77777777" w:rsidR="003D244A" w:rsidRDefault="003D244A" w:rsidP="003D7BFE">
      <w:pPr>
        <w:rPr>
          <w:highlight w:val="yellow"/>
        </w:rPr>
      </w:pPr>
    </w:p>
    <w:p w14:paraId="1D4FB6C8" w14:textId="77777777" w:rsidR="00FF7419" w:rsidRDefault="00FF7419" w:rsidP="00FF7419">
      <w:pPr>
        <w:jc w:val="both"/>
        <w:rPr>
          <w:i/>
          <w:color w:val="000080"/>
        </w:rPr>
      </w:pPr>
      <w:r>
        <w:rPr>
          <w:i/>
          <w:color w:val="000080"/>
        </w:rPr>
        <w:t xml:space="preserve">RQ3. Do students receiving iLit instruction demonstrate positive attitudes toward reading and literacy instruction?  </w:t>
      </w:r>
    </w:p>
    <w:p w14:paraId="1623E782" w14:textId="77777777" w:rsidR="003D244A" w:rsidRPr="008438E4" w:rsidRDefault="003D244A" w:rsidP="003D7BFE"/>
    <w:p w14:paraId="7A751953" w14:textId="77777777" w:rsidR="00EE0B47" w:rsidRDefault="00EE0B47" w:rsidP="00EE0B47">
      <w:pPr>
        <w:jc w:val="both"/>
      </w:pPr>
      <w:r w:rsidRPr="00AD2A2B">
        <w:t>It can be seen from Figure 2 that, on average, both iLit and comparison students had overall</w:t>
      </w:r>
      <w:r w:rsidRPr="008438E4">
        <w:t xml:space="preserve"> positive academic attitudes at b</w:t>
      </w:r>
      <w:r w:rsidR="008438E4">
        <w:t>oth the beginning and end of each</w:t>
      </w:r>
      <w:r w:rsidRPr="008438E4">
        <w:t xml:space="preserve"> school year.  The scoring method for the student academic attitude survey anchors a completely neutral student at an overall score of zero with positive total scores indicating an overall positive or more enthusiastic attitude.  That is, each of the 20 responses were coded as 1 for a positive response, 0 for a neutral response, and -1 for a negative response</w:t>
      </w:r>
      <w:r w:rsidR="008438E4">
        <w:t xml:space="preserve"> giving a -20 to +20 score range</w:t>
      </w:r>
      <w:r w:rsidRPr="008438E4">
        <w:t>.</w:t>
      </w:r>
      <w:r w:rsidRPr="00EC3408">
        <w:t xml:space="preserve">  </w:t>
      </w:r>
    </w:p>
    <w:p w14:paraId="795980B5" w14:textId="77777777" w:rsidR="00EE0B47" w:rsidRDefault="00EE0B47" w:rsidP="00EE0B47">
      <w:pPr>
        <w:jc w:val="both"/>
      </w:pPr>
    </w:p>
    <w:p w14:paraId="79AB8DD2" w14:textId="77777777" w:rsidR="00996820" w:rsidRDefault="00EE0B47" w:rsidP="00EE0B47">
      <w:pPr>
        <w:jc w:val="both"/>
      </w:pPr>
      <w:r w:rsidRPr="00AD7C67">
        <w:t xml:space="preserve">The comparison group began the </w:t>
      </w:r>
      <w:r w:rsidR="00AD7C67" w:rsidRPr="00AD7C67">
        <w:t xml:space="preserve">2013-14 </w:t>
      </w:r>
      <w:r w:rsidRPr="00AD7C67">
        <w:t xml:space="preserve">school year more positive </w:t>
      </w:r>
      <w:r w:rsidR="00A764BD">
        <w:t xml:space="preserve">(i.e., group mean difference was not statistically significant) </w:t>
      </w:r>
      <w:r w:rsidRPr="00AD7C67">
        <w:t>but did not increase at all in their attitudes</w:t>
      </w:r>
      <w:r w:rsidR="00AD7C67" w:rsidRPr="00AD7C67">
        <w:t xml:space="preserve"> that year</w:t>
      </w:r>
      <w:r w:rsidRPr="00AD7C67">
        <w:t>.  The iLit group, however, did gain a small amount in their academic attitudes towards lite</w:t>
      </w:r>
      <w:r w:rsidR="00AD7C67" w:rsidRPr="00AD7C67">
        <w:t>racy instruction</w:t>
      </w:r>
      <w:r w:rsidR="00996820">
        <w:t xml:space="preserve"> (i.e., 4 percentile points)</w:t>
      </w:r>
      <w:r w:rsidR="00AD7C67" w:rsidRPr="00AD7C67">
        <w:t>.</w:t>
      </w:r>
      <w:r w:rsidR="00996820">
        <w:t xml:space="preserve">  The opposite was observed the next school year where the comparison group increased slightly and the iLit students did not.</w:t>
      </w:r>
      <w:r w:rsidR="00AD7C67" w:rsidRPr="00AD7C67">
        <w:t xml:space="preserve">  </w:t>
      </w:r>
      <w:r w:rsidR="00996820">
        <w:t xml:space="preserve">Comparing the differential group </w:t>
      </w:r>
      <w:r w:rsidRPr="00AD7C67">
        <w:t>gain</w:t>
      </w:r>
      <w:r w:rsidR="00996820">
        <w:t>s did not yield statistically significance for either school year.</w:t>
      </w:r>
    </w:p>
    <w:p w14:paraId="456CAB0C" w14:textId="77777777" w:rsidR="00EE0B47" w:rsidRPr="00AD7C67" w:rsidRDefault="00EE0B47" w:rsidP="003D7BFE"/>
    <w:p w14:paraId="74EACBA4" w14:textId="77777777" w:rsidR="00EE0B47" w:rsidRDefault="00EE0B47" w:rsidP="003D7BFE">
      <w:pPr>
        <w:rPr>
          <w:highlight w:val="yellow"/>
        </w:rPr>
      </w:pPr>
    </w:p>
    <w:p w14:paraId="6E933C13" w14:textId="77777777" w:rsidR="00EC500D" w:rsidRPr="00C717F4" w:rsidRDefault="00DD75EA" w:rsidP="00EC500D">
      <w:r w:rsidRPr="00AD2A2B">
        <w:t>Figure 2</w:t>
      </w:r>
      <w:r w:rsidR="00EC500D" w:rsidRPr="00AD2A2B">
        <w:t xml:space="preserve">.    </w:t>
      </w:r>
      <w:r w:rsidR="00EC500D" w:rsidRPr="00AD2A2B">
        <w:tab/>
        <w:t xml:space="preserve">  </w:t>
      </w:r>
      <w:r w:rsidR="00EE0B47" w:rsidRPr="00AD2A2B">
        <w:t xml:space="preserve">      </w:t>
      </w:r>
      <w:r w:rsidR="00EC500D" w:rsidRPr="00AD2A2B">
        <w:rPr>
          <w:color w:val="000000"/>
        </w:rPr>
        <w:t xml:space="preserve">Group Gain Comparisons for </w:t>
      </w:r>
      <w:r w:rsidR="00EC500D" w:rsidRPr="00AD2A2B">
        <w:t>Literacy Academic Attitude</w:t>
      </w:r>
    </w:p>
    <w:p w14:paraId="21749B84" w14:textId="77777777" w:rsidR="00EC500D" w:rsidRDefault="00EC500D" w:rsidP="00EC500D"/>
    <w:bookmarkStart w:id="14" w:name="_MON_1503921237"/>
    <w:bookmarkEnd w:id="14"/>
    <w:p w14:paraId="117EDF1D" w14:textId="77777777" w:rsidR="00EC500D" w:rsidRDefault="00EC500D" w:rsidP="00EC500D">
      <w:r>
        <w:object w:dxaOrig="7695" w:dyaOrig="4815" w14:anchorId="716CED1B">
          <v:shape id="_x0000_i1036" type="#_x0000_t75" style="width:229.5pt;height:180pt" o:ole="">
            <v:imagedata r:id="rId41" o:title=""/>
            <o:lock v:ext="edit" aspectratio="f"/>
          </v:shape>
          <o:OLEObject Type="Embed" ProgID="Excel.Sheet.12" ShapeID="_x0000_i1036" DrawAspect="Content" ObjectID="_1516715774" r:id="rId42"/>
        </w:object>
      </w:r>
      <w:bookmarkStart w:id="15" w:name="_MON_1503921325"/>
      <w:bookmarkEnd w:id="15"/>
      <w:r>
        <w:object w:dxaOrig="8264" w:dyaOrig="4670" w14:anchorId="7AD12A67">
          <v:shape id="_x0000_i1037" type="#_x0000_t75" style="width:229.5pt;height:180pt" o:ole="">
            <v:imagedata r:id="rId43" o:title=""/>
            <o:lock v:ext="edit" aspectratio="f"/>
          </v:shape>
          <o:OLEObject Type="Embed" ProgID="Excel.Sheet.12" ShapeID="_x0000_i1037" DrawAspect="Content" ObjectID="_1516715775" r:id="rId44"/>
        </w:object>
      </w:r>
    </w:p>
    <w:p w14:paraId="4B420BF0" w14:textId="77777777" w:rsidR="00EC500D" w:rsidRDefault="00EC500D" w:rsidP="00EC500D"/>
    <w:p w14:paraId="3FD0DD10" w14:textId="77777777" w:rsidR="00EC500D" w:rsidRDefault="00EC500D" w:rsidP="00EC500D">
      <w:pPr>
        <w:ind w:left="2880" w:firstLine="720"/>
      </w:pPr>
      <w:r>
        <w:rPr>
          <w:noProof/>
          <w:lang w:eastAsia="zh-CN"/>
        </w:rPr>
        <mc:AlternateContent>
          <mc:Choice Requires="wps">
            <w:drawing>
              <wp:anchor distT="0" distB="0" distL="114300" distR="114300" simplePos="0" relativeHeight="251668480" behindDoc="0" locked="0" layoutInCell="1" allowOverlap="1" wp14:anchorId="4554AC86" wp14:editId="5C6B7B4D">
                <wp:simplePos x="0" y="0"/>
                <wp:positionH relativeFrom="column">
                  <wp:posOffset>1991218</wp:posOffset>
                </wp:positionH>
                <wp:positionV relativeFrom="paragraph">
                  <wp:posOffset>42545</wp:posOffset>
                </wp:positionV>
                <wp:extent cx="189865" cy="90805"/>
                <wp:effectExtent l="10160" t="13335" r="9525"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90805"/>
                        </a:xfrm>
                        <a:prstGeom prst="rect">
                          <a:avLst/>
                        </a:prstGeom>
                        <a:solidFill>
                          <a:srgbClr val="4F81BD"/>
                        </a:solidFill>
                        <a:ln w="9525">
                          <a:solidFill>
                            <a:srgbClr val="000000"/>
                          </a:solidFill>
                          <a:miter lim="800000"/>
                          <a:headEnd/>
                          <a:tailEnd/>
                        </a:ln>
                      </wps:spPr>
                      <wps:txbx>
                        <w:txbxContent>
                          <w:p w14:paraId="330D277C" w14:textId="77777777" w:rsidR="0054668A" w:rsidRDefault="0054668A" w:rsidP="00EC50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554AC86" id="Text Box 12" o:spid="_x0000_s1030" type="#_x0000_t202" style="position:absolute;left:0;text-align:left;margin-left:156.8pt;margin-top:3.35pt;width:14.9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" fillcolor="#4f81bd">
                <v:textbox>
                  <w:txbxContent>
                    <w:p w14:paraId="330D277C" w14:textId="77777777" w:rsidR="0054668A" w:rsidRDefault="0054668A" w:rsidP="00EC500D"/>
                  </w:txbxContent>
                </v:textbox>
              </v:shape>
            </w:pict>
          </mc:Fallback>
        </mc:AlternateContent>
      </w:r>
      <w:r>
        <w:rPr>
          <w:noProof/>
          <w:lang w:eastAsia="zh-CN"/>
        </w:rPr>
        <mc:AlternateContent>
          <mc:Choice Requires="wps">
            <w:drawing>
              <wp:anchor distT="0" distB="0" distL="114300" distR="114300" simplePos="0" relativeHeight="251667456" behindDoc="0" locked="0" layoutInCell="1" allowOverlap="1" wp14:anchorId="22662505" wp14:editId="43A707CF">
                <wp:simplePos x="0" y="0"/>
                <wp:positionH relativeFrom="column">
                  <wp:posOffset>2969260</wp:posOffset>
                </wp:positionH>
                <wp:positionV relativeFrom="paragraph">
                  <wp:posOffset>36830</wp:posOffset>
                </wp:positionV>
                <wp:extent cx="189865" cy="90805"/>
                <wp:effectExtent l="6985" t="7620" r="1270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90805"/>
                        </a:xfrm>
                        <a:prstGeom prst="rect">
                          <a:avLst/>
                        </a:prstGeom>
                        <a:solidFill>
                          <a:srgbClr val="C0504D"/>
                        </a:solidFill>
                        <a:ln w="9525">
                          <a:solidFill>
                            <a:srgbClr val="000000"/>
                          </a:solidFill>
                          <a:miter lim="800000"/>
                          <a:headEnd/>
                          <a:tailEnd/>
                        </a:ln>
                      </wps:spPr>
                      <wps:txbx>
                        <w:txbxContent>
                          <w:p w14:paraId="04D881F5" w14:textId="77777777" w:rsidR="0054668A" w:rsidRDefault="0054668A" w:rsidP="00EC50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2662505" id="Text Box 13" o:spid="_x0000_s1031" type="#_x0000_t202" style="position:absolute;left:0;text-align:left;margin-left:233.8pt;margin-top:2.9pt;width:14.9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" fillcolor="#c0504d">
                <v:textbox>
                  <w:txbxContent>
                    <w:p w14:paraId="04D881F5" w14:textId="77777777" w:rsidR="0054668A" w:rsidRDefault="0054668A" w:rsidP="00EC500D"/>
                  </w:txbxContent>
                </v:textbox>
              </v:shape>
            </w:pict>
          </mc:Fallback>
        </mc:AlternateContent>
      </w:r>
      <w:r>
        <w:t>iLit</w:t>
      </w:r>
      <w:r>
        <w:tab/>
      </w:r>
      <w:r>
        <w:tab/>
        <w:t>Comparison</w:t>
      </w:r>
    </w:p>
    <w:p w14:paraId="4ABD97B6" w14:textId="77777777" w:rsidR="00EC500D" w:rsidRDefault="00EC500D" w:rsidP="00EC500D">
      <w:pPr>
        <w:tabs>
          <w:tab w:val="left" w:pos="3510"/>
        </w:tabs>
        <w:rPr>
          <w:b/>
          <w:highlight w:val="yellow"/>
        </w:rPr>
      </w:pPr>
    </w:p>
    <w:p w14:paraId="66720658" w14:textId="77777777" w:rsidR="00EC500D" w:rsidRDefault="00EC500D" w:rsidP="00EC500D">
      <w:pPr>
        <w:rPr>
          <w:highlight w:val="yellow"/>
        </w:rPr>
      </w:pPr>
    </w:p>
    <w:p w14:paraId="65A1DC7B" w14:textId="77777777" w:rsidR="00B84514" w:rsidRDefault="00B84514" w:rsidP="00EC500D">
      <w:pPr>
        <w:rPr>
          <w:highlight w:val="yellow"/>
        </w:rPr>
      </w:pPr>
    </w:p>
    <w:p w14:paraId="0D944E9A" w14:textId="4E206FFA" w:rsidR="00B84514" w:rsidRDefault="00B84514" w:rsidP="00EC500D">
      <w:pPr>
        <w:rPr>
          <w:highlight w:val="yellow"/>
        </w:rPr>
      </w:pPr>
    </w:p>
    <w:p w14:paraId="4D74AF0C" w14:textId="77777777" w:rsidR="001441CA" w:rsidRDefault="001441CA" w:rsidP="00EC500D">
      <w:pPr>
        <w:rPr>
          <w:highlight w:val="yellow"/>
        </w:rPr>
      </w:pPr>
    </w:p>
    <w:p w14:paraId="0D981D59" w14:textId="77777777" w:rsidR="00B84514" w:rsidRDefault="00B84514" w:rsidP="00EC500D">
      <w:pPr>
        <w:rPr>
          <w:highlight w:val="yellow"/>
        </w:rPr>
      </w:pPr>
    </w:p>
    <w:p w14:paraId="1FAAAA0A" w14:textId="77777777" w:rsidR="00B84514" w:rsidRDefault="00B84514" w:rsidP="00EC500D">
      <w:pPr>
        <w:rPr>
          <w:highlight w:val="yellow"/>
        </w:rPr>
      </w:pPr>
    </w:p>
    <w:p w14:paraId="7149F8C7" w14:textId="77777777" w:rsidR="00B84514" w:rsidRDefault="00B84514" w:rsidP="00EC500D">
      <w:pPr>
        <w:rPr>
          <w:highlight w:val="yellow"/>
        </w:rPr>
      </w:pPr>
    </w:p>
    <w:p w14:paraId="3F6A4705" w14:textId="77777777" w:rsidR="00EC500D" w:rsidRDefault="00EC500D" w:rsidP="003D7BFE">
      <w:pPr>
        <w:rPr>
          <w:highlight w:val="yellow"/>
        </w:rPr>
      </w:pPr>
    </w:p>
    <w:p w14:paraId="6B33579E" w14:textId="77777777" w:rsidR="003D244A" w:rsidRPr="003D7BFE" w:rsidRDefault="003D244A" w:rsidP="003D7BFE">
      <w:pPr>
        <w:autoSpaceDE w:val="0"/>
        <w:autoSpaceDN w:val="0"/>
        <w:adjustRightInd w:val="0"/>
        <w:jc w:val="both"/>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2BB52935" w14:textId="77777777" w:rsidR="003D244A" w:rsidRPr="00190C4B" w:rsidRDefault="003D244A" w:rsidP="003D7BFE">
      <w:pPr>
        <w:jc w:val="both"/>
        <w:rPr>
          <w:i/>
          <w:color w:val="000080"/>
          <w:sz w:val="28"/>
          <w:szCs w:val="28"/>
        </w:rPr>
      </w:pPr>
      <w:r>
        <w:rPr>
          <w:b/>
          <w:i/>
          <w:color w:val="000080"/>
          <w:sz w:val="28"/>
          <w:szCs w:val="28"/>
        </w:rPr>
        <w:t xml:space="preserve"> Teacher and Student iLit</w:t>
      </w:r>
      <w:r w:rsidRPr="00190C4B">
        <w:rPr>
          <w:b/>
          <w:i/>
          <w:color w:val="000080"/>
          <w:sz w:val="28"/>
          <w:szCs w:val="28"/>
        </w:rPr>
        <w:t xml:space="preserve"> Opinions</w:t>
      </w:r>
      <w:r w:rsidRPr="00190C4B">
        <w:rPr>
          <w:b/>
          <w:i/>
          <w:color w:val="000080"/>
          <w:sz w:val="28"/>
          <w:szCs w:val="28"/>
        </w:rPr>
        <w:tab/>
      </w:r>
    </w:p>
    <w:p w14:paraId="5FFAA3CE" w14:textId="77777777" w:rsidR="003D244A" w:rsidRPr="003D7BFE" w:rsidRDefault="003D244A" w:rsidP="003D7BFE">
      <w:pPr>
        <w:autoSpaceDE w:val="0"/>
        <w:autoSpaceDN w:val="0"/>
        <w:adjustRightInd w:val="0"/>
        <w:jc w:val="both"/>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2D6AEF9A" w14:textId="77777777" w:rsidR="003D244A" w:rsidRDefault="003D244A" w:rsidP="003D7BFE">
      <w:pPr>
        <w:jc w:val="both"/>
        <w:rPr>
          <w:color w:val="000000"/>
        </w:rPr>
      </w:pPr>
    </w:p>
    <w:p w14:paraId="7A76B1A5" w14:textId="77777777" w:rsidR="003D244A" w:rsidRPr="00302C75" w:rsidRDefault="003D244A" w:rsidP="003D7BFE">
      <w:pPr>
        <w:jc w:val="both"/>
      </w:pPr>
      <w:r w:rsidRPr="00302C75">
        <w:rPr>
          <w:color w:val="000000"/>
        </w:rPr>
        <w:t xml:space="preserve">This section </w:t>
      </w:r>
      <w:r w:rsidRPr="00302C75">
        <w:t>addresses research question five:</w:t>
      </w:r>
    </w:p>
    <w:p w14:paraId="368A0AD1" w14:textId="77777777" w:rsidR="003D244A" w:rsidRPr="00302C75" w:rsidRDefault="003D244A" w:rsidP="003D7BFE">
      <w:pPr>
        <w:jc w:val="both"/>
      </w:pPr>
    </w:p>
    <w:p w14:paraId="68CDC1C6" w14:textId="77777777" w:rsidR="003D244A" w:rsidRPr="00302C75" w:rsidRDefault="003D244A" w:rsidP="003D7BFE">
      <w:pPr>
        <w:jc w:val="both"/>
        <w:rPr>
          <w:i/>
          <w:color w:val="000080"/>
        </w:rPr>
      </w:pPr>
      <w:r w:rsidRPr="00302C75">
        <w:rPr>
          <w:i/>
          <w:color w:val="000080"/>
        </w:rPr>
        <w:t xml:space="preserve">RQ5: How did iLit teachers and students react to the iLit program?  </w:t>
      </w:r>
    </w:p>
    <w:p w14:paraId="388FBE91" w14:textId="77777777" w:rsidR="003D244A" w:rsidRPr="00302C75" w:rsidRDefault="003D244A" w:rsidP="003D7BFE">
      <w:pPr>
        <w:jc w:val="both"/>
      </w:pPr>
    </w:p>
    <w:p w14:paraId="7D8EA141" w14:textId="77777777" w:rsidR="003D244A" w:rsidRPr="00302C75" w:rsidRDefault="003D244A" w:rsidP="003D7BFE">
      <w:pPr>
        <w:jc w:val="both"/>
        <w:rPr>
          <w:color w:val="000000"/>
        </w:rPr>
      </w:pPr>
      <w:r w:rsidRPr="00302C75">
        <w:rPr>
          <w:color w:val="000000"/>
        </w:rPr>
        <w:t xml:space="preserve">The first sub-section summarizes the results for </w:t>
      </w:r>
      <w:r w:rsidR="00C01565" w:rsidRPr="00302C75">
        <w:rPr>
          <w:color w:val="000000"/>
        </w:rPr>
        <w:t xml:space="preserve">the </w:t>
      </w:r>
      <w:r w:rsidRPr="00302C75">
        <w:rPr>
          <w:color w:val="000000"/>
        </w:rPr>
        <w:t xml:space="preserve">student iLit opinion survey.  The second sub-section summarizes comments collected from iLit teacher focus groups.  </w:t>
      </w:r>
    </w:p>
    <w:p w14:paraId="63CD3FFC" w14:textId="77777777" w:rsidR="003D244A" w:rsidRPr="00302C75" w:rsidRDefault="003D244A" w:rsidP="003D7BFE">
      <w:pPr>
        <w:jc w:val="both"/>
      </w:pPr>
    </w:p>
    <w:p w14:paraId="541C8CAC" w14:textId="77777777" w:rsidR="003D244A" w:rsidRPr="007F1366" w:rsidRDefault="003D244A" w:rsidP="003D7BFE">
      <w:pPr>
        <w:autoSpaceDE w:val="0"/>
        <w:autoSpaceDN w:val="0"/>
        <w:adjustRightInd w:val="0"/>
        <w:rPr>
          <w:b/>
          <w:i/>
          <w:color w:val="000080"/>
          <w:sz w:val="28"/>
          <w:szCs w:val="28"/>
        </w:rPr>
      </w:pPr>
      <w:r w:rsidRPr="007F1366">
        <w:rPr>
          <w:b/>
          <w:i/>
          <w:color w:val="000080"/>
          <w:sz w:val="28"/>
          <w:szCs w:val="28"/>
        </w:rPr>
        <w:t>Student iLit Attitudes</w:t>
      </w:r>
    </w:p>
    <w:p w14:paraId="664D926D" w14:textId="1478B3C6" w:rsidR="007F1366" w:rsidRDefault="003D244A" w:rsidP="003D7BFE">
      <w:pPr>
        <w:jc w:val="both"/>
      </w:pPr>
      <w:r w:rsidRPr="007F1366">
        <w:rPr>
          <w:color w:val="000000"/>
        </w:rPr>
        <w:t>S</w:t>
      </w:r>
      <w:r w:rsidRPr="007F1366">
        <w:t xml:space="preserve">tudents from iLit classrooms were surveyed as to their opinions on several aspects of the program.  A </w:t>
      </w:r>
      <w:r w:rsidR="000C0263">
        <w:t xml:space="preserve">solid </w:t>
      </w:r>
      <w:r w:rsidR="007F1366">
        <w:t>majority (i.e., 69</w:t>
      </w:r>
      <w:r w:rsidRPr="007F1366">
        <w:t>%) demonstrated an overall positive attitude towards the program</w:t>
      </w:r>
      <w:r w:rsidR="007F1366">
        <w:t xml:space="preserve"> in the 2013-14 school year</w:t>
      </w:r>
      <w:r w:rsidRPr="007F1366">
        <w:t>.</w:t>
      </w:r>
      <w:r w:rsidR="007F1366">
        <w:t xml:space="preserve">  This was reduced to 50% of students when surveyed in the next school year.</w:t>
      </w:r>
      <w:r w:rsidRPr="007F1366">
        <w:t xml:space="preserve">  </w:t>
      </w:r>
    </w:p>
    <w:p w14:paraId="48F747AC" w14:textId="77777777" w:rsidR="00DC314E" w:rsidRDefault="00DC314E" w:rsidP="003D7BFE">
      <w:pPr>
        <w:jc w:val="both"/>
      </w:pPr>
    </w:p>
    <w:p w14:paraId="518576C9" w14:textId="77777777" w:rsidR="003D244A" w:rsidRPr="007F1366" w:rsidRDefault="007F1366" w:rsidP="003D7BFE">
      <w:pPr>
        <w:jc w:val="both"/>
      </w:pPr>
      <w:r>
        <w:t xml:space="preserve">In </w:t>
      </w:r>
      <w:r w:rsidR="00DC314E">
        <w:t>2013-14 m</w:t>
      </w:r>
      <w:r>
        <w:t>ore</w:t>
      </w:r>
      <w:r w:rsidR="003D244A" w:rsidRPr="007F1366">
        <w:t xml:space="preserve"> </w:t>
      </w:r>
      <w:r w:rsidR="00DC314E">
        <w:t xml:space="preserve">students </w:t>
      </w:r>
      <w:r w:rsidR="003D244A" w:rsidRPr="007F1366">
        <w:t xml:space="preserve">felt iLit definitely made English class more interesting, </w:t>
      </w:r>
      <w:r w:rsidR="003D244A" w:rsidRPr="007F1366">
        <w:rPr>
          <w:color w:val="000000"/>
        </w:rPr>
        <w:t>preferred iLit to their previous English class, and want</w:t>
      </w:r>
      <w:r w:rsidR="00C01565" w:rsidRPr="007F1366">
        <w:rPr>
          <w:color w:val="000000"/>
        </w:rPr>
        <w:t>ed</w:t>
      </w:r>
      <w:r w:rsidR="003D244A" w:rsidRPr="007F1366">
        <w:rPr>
          <w:color w:val="000000"/>
        </w:rPr>
        <w:t xml:space="preserve"> to continue using iLit</w:t>
      </w:r>
      <w:r w:rsidR="00E32615" w:rsidRPr="007F1366">
        <w:rPr>
          <w:color w:val="000000"/>
        </w:rPr>
        <w:t xml:space="preserve"> (i.e., see </w:t>
      </w:r>
      <w:r w:rsidR="0038175D" w:rsidRPr="007F1366">
        <w:rPr>
          <w:color w:val="000000"/>
        </w:rPr>
        <w:t>Table 12</w:t>
      </w:r>
      <w:r w:rsidR="00E32615" w:rsidRPr="007F1366">
        <w:rPr>
          <w:color w:val="000000"/>
        </w:rPr>
        <w:t>)</w:t>
      </w:r>
      <w:r w:rsidR="003D244A" w:rsidRPr="007F1366">
        <w:rPr>
          <w:color w:val="000000"/>
        </w:rPr>
        <w:t>.</w:t>
      </w:r>
      <w:r w:rsidR="00DC314E">
        <w:rPr>
          <w:color w:val="000000"/>
        </w:rPr>
        <w:t xml:space="preserve">  Students were noticeably less enthusiastic in the second school year. </w:t>
      </w:r>
    </w:p>
    <w:p w14:paraId="082AED0B" w14:textId="77777777" w:rsidR="000537B6" w:rsidRDefault="000537B6" w:rsidP="000537B6">
      <w:pPr>
        <w:jc w:val="both"/>
        <w:rPr>
          <w:color w:val="000000"/>
        </w:rPr>
      </w:pPr>
    </w:p>
    <w:tbl>
      <w:tblPr>
        <w:tblW w:w="10141" w:type="dxa"/>
        <w:jc w:val="center"/>
        <w:tblLook w:val="04A0" w:firstRow="1" w:lastRow="0" w:firstColumn="1" w:lastColumn="0" w:noHBand="0" w:noVBand="1"/>
      </w:tblPr>
      <w:tblGrid>
        <w:gridCol w:w="4757"/>
        <w:gridCol w:w="1687"/>
        <w:gridCol w:w="2016"/>
        <w:gridCol w:w="1681"/>
      </w:tblGrid>
      <w:tr w:rsidR="000537B6" w14:paraId="7BA61B3E" w14:textId="77777777" w:rsidTr="000537B6">
        <w:trPr>
          <w:jc w:val="center"/>
        </w:trPr>
        <w:tc>
          <w:tcPr>
            <w:tcW w:w="10141" w:type="dxa"/>
            <w:gridSpan w:val="4"/>
            <w:tcBorders>
              <w:top w:val="single" w:sz="4" w:space="0" w:color="FFFFFF"/>
              <w:left w:val="single" w:sz="4" w:space="0" w:color="FFFFFF"/>
              <w:bottom w:val="nil"/>
              <w:right w:val="single" w:sz="4" w:space="0" w:color="FFFFFF"/>
            </w:tcBorders>
            <w:shd w:val="clear" w:color="auto" w:fill="548DD4"/>
            <w:hideMark/>
          </w:tcPr>
          <w:p w14:paraId="71D4614F" w14:textId="6B691819" w:rsidR="000537B6" w:rsidRDefault="007918AE" w:rsidP="009B2E68">
            <w:pPr>
              <w:spacing w:before="34"/>
            </w:pPr>
            <w:r>
              <w:br w:type="page"/>
              <w:t>Table 9</w:t>
            </w:r>
            <w:r w:rsidR="000537B6">
              <w:t xml:space="preserve">                                          2013-14  iLit Student Attitude Results</w:t>
            </w:r>
          </w:p>
        </w:tc>
      </w:tr>
      <w:tr w:rsidR="000537B6" w14:paraId="3BCECA57" w14:textId="77777777" w:rsidTr="000537B6">
        <w:trPr>
          <w:jc w:val="center"/>
        </w:trPr>
        <w:tc>
          <w:tcPr>
            <w:tcW w:w="4757" w:type="dxa"/>
            <w:tcBorders>
              <w:top w:val="single" w:sz="4" w:space="0" w:color="FFFFFF"/>
              <w:left w:val="single" w:sz="4" w:space="0" w:color="FFFFFF"/>
              <w:bottom w:val="nil"/>
              <w:right w:val="nil"/>
            </w:tcBorders>
            <w:shd w:val="clear" w:color="auto" w:fill="548DD4"/>
            <w:hideMark/>
          </w:tcPr>
          <w:p w14:paraId="2E7009FE" w14:textId="77777777" w:rsidR="000537B6" w:rsidRDefault="000537B6">
            <w:pPr>
              <w:spacing w:before="34"/>
              <w:jc w:val="center"/>
            </w:pPr>
            <w:r>
              <w:t>Question</w:t>
            </w:r>
          </w:p>
        </w:tc>
        <w:tc>
          <w:tcPr>
            <w:tcW w:w="1687" w:type="dxa"/>
            <w:tcBorders>
              <w:top w:val="single" w:sz="4" w:space="0" w:color="FFFFFF"/>
              <w:left w:val="nil"/>
              <w:bottom w:val="nil"/>
              <w:right w:val="nil"/>
            </w:tcBorders>
            <w:shd w:val="clear" w:color="auto" w:fill="548DD4"/>
            <w:hideMark/>
          </w:tcPr>
          <w:p w14:paraId="1B3C217A" w14:textId="77777777" w:rsidR="000537B6" w:rsidRDefault="000537B6">
            <w:pPr>
              <w:spacing w:before="34"/>
              <w:jc w:val="center"/>
            </w:pPr>
            <w:r>
              <w:t>Yes, Definitely</w:t>
            </w:r>
          </w:p>
        </w:tc>
        <w:tc>
          <w:tcPr>
            <w:tcW w:w="2016" w:type="dxa"/>
            <w:tcBorders>
              <w:top w:val="single" w:sz="4" w:space="0" w:color="FFFFFF"/>
              <w:left w:val="nil"/>
              <w:bottom w:val="nil"/>
              <w:right w:val="nil"/>
            </w:tcBorders>
            <w:shd w:val="clear" w:color="auto" w:fill="548DD4"/>
            <w:hideMark/>
          </w:tcPr>
          <w:p w14:paraId="6CDD14BE" w14:textId="77777777" w:rsidR="000537B6" w:rsidRDefault="000537B6">
            <w:pPr>
              <w:spacing w:before="34"/>
              <w:jc w:val="center"/>
            </w:pPr>
            <w:r>
              <w:t>Sometimes/Maybe</w:t>
            </w:r>
          </w:p>
        </w:tc>
        <w:tc>
          <w:tcPr>
            <w:tcW w:w="1681" w:type="dxa"/>
            <w:tcBorders>
              <w:top w:val="single" w:sz="4" w:space="0" w:color="FFFFFF"/>
              <w:left w:val="nil"/>
              <w:bottom w:val="nil"/>
              <w:right w:val="single" w:sz="4" w:space="0" w:color="FFFFFF"/>
            </w:tcBorders>
            <w:shd w:val="clear" w:color="auto" w:fill="548DD4"/>
            <w:hideMark/>
          </w:tcPr>
          <w:p w14:paraId="7871AB8A" w14:textId="77777777" w:rsidR="000537B6" w:rsidRDefault="000537B6">
            <w:pPr>
              <w:spacing w:before="34"/>
              <w:jc w:val="center"/>
            </w:pPr>
            <w:r>
              <w:t>No, Not Really</w:t>
            </w:r>
          </w:p>
        </w:tc>
      </w:tr>
      <w:tr w:rsidR="000537B6" w14:paraId="44E64AB1" w14:textId="77777777" w:rsidTr="000537B6">
        <w:trPr>
          <w:jc w:val="center"/>
        </w:trPr>
        <w:tc>
          <w:tcPr>
            <w:tcW w:w="4757" w:type="dxa"/>
            <w:vMerge w:val="restart"/>
            <w:shd w:val="clear" w:color="auto" w:fill="DBE5F1"/>
            <w:hideMark/>
          </w:tcPr>
          <w:p w14:paraId="0735332A" w14:textId="77777777" w:rsidR="000537B6" w:rsidRDefault="000537B6">
            <w:pPr>
              <w:spacing w:before="34"/>
              <w:rPr>
                <w:color w:val="000000"/>
              </w:rPr>
            </w:pPr>
            <w:r>
              <w:rPr>
                <w:color w:val="000000"/>
                <w:sz w:val="22"/>
                <w:szCs w:val="22"/>
              </w:rPr>
              <w:t>English class is more interesting now.</w:t>
            </w:r>
          </w:p>
          <w:p w14:paraId="1EF897A5" w14:textId="77777777" w:rsidR="000537B6" w:rsidRDefault="000537B6">
            <w:pPr>
              <w:spacing w:before="34"/>
              <w:rPr>
                <w:color w:val="000000"/>
              </w:rPr>
            </w:pPr>
            <w:r>
              <w:rPr>
                <w:color w:val="000000"/>
                <w:sz w:val="22"/>
                <w:szCs w:val="22"/>
              </w:rPr>
              <w:t>Would like to continue using iLit next school year.</w:t>
            </w:r>
          </w:p>
          <w:p w14:paraId="41DE500F" w14:textId="77777777" w:rsidR="000537B6" w:rsidRDefault="000537B6">
            <w:pPr>
              <w:spacing w:before="34"/>
              <w:rPr>
                <w:highlight w:val="yellow"/>
              </w:rPr>
            </w:pPr>
            <w:r>
              <w:rPr>
                <w:color w:val="000000"/>
                <w:sz w:val="22"/>
                <w:szCs w:val="22"/>
              </w:rPr>
              <w:t>Prefer iLit to previous English class.</w:t>
            </w:r>
          </w:p>
        </w:tc>
        <w:tc>
          <w:tcPr>
            <w:tcW w:w="1687" w:type="dxa"/>
            <w:shd w:val="clear" w:color="auto" w:fill="DBE5F1"/>
            <w:hideMark/>
          </w:tcPr>
          <w:p w14:paraId="08B2355B" w14:textId="77777777" w:rsidR="000537B6" w:rsidRDefault="000537B6">
            <w:pPr>
              <w:spacing w:before="34"/>
              <w:jc w:val="center"/>
            </w:pPr>
            <w:r>
              <w:t>34</w:t>
            </w:r>
            <w:r w:rsidR="0090143C">
              <w:t>%</w:t>
            </w:r>
          </w:p>
        </w:tc>
        <w:tc>
          <w:tcPr>
            <w:tcW w:w="2016" w:type="dxa"/>
            <w:shd w:val="clear" w:color="auto" w:fill="DBE5F1"/>
            <w:hideMark/>
          </w:tcPr>
          <w:p w14:paraId="37B598BC" w14:textId="77777777" w:rsidR="000537B6" w:rsidRDefault="000537B6">
            <w:pPr>
              <w:spacing w:before="34"/>
              <w:jc w:val="center"/>
            </w:pPr>
            <w:r>
              <w:t>48</w:t>
            </w:r>
            <w:r w:rsidR="0090143C">
              <w:t>%</w:t>
            </w:r>
          </w:p>
        </w:tc>
        <w:tc>
          <w:tcPr>
            <w:tcW w:w="1681" w:type="dxa"/>
            <w:shd w:val="clear" w:color="auto" w:fill="DBE5F1"/>
            <w:hideMark/>
          </w:tcPr>
          <w:p w14:paraId="4CB1325F" w14:textId="77777777" w:rsidR="000537B6" w:rsidRDefault="000537B6">
            <w:pPr>
              <w:spacing w:before="34"/>
              <w:jc w:val="center"/>
            </w:pPr>
            <w:r>
              <w:t>18</w:t>
            </w:r>
            <w:r w:rsidR="0090143C">
              <w:t>%</w:t>
            </w:r>
          </w:p>
        </w:tc>
      </w:tr>
      <w:tr w:rsidR="000537B6" w14:paraId="5C13B16A" w14:textId="77777777" w:rsidTr="000537B6">
        <w:trPr>
          <w:jc w:val="center"/>
        </w:trPr>
        <w:tc>
          <w:tcPr>
            <w:tcW w:w="0" w:type="auto"/>
            <w:vMerge/>
            <w:vAlign w:val="center"/>
            <w:hideMark/>
          </w:tcPr>
          <w:p w14:paraId="51CC3C85" w14:textId="77777777" w:rsidR="000537B6" w:rsidRDefault="000537B6">
            <w:pPr>
              <w:rPr>
                <w:highlight w:val="yellow"/>
              </w:rPr>
            </w:pPr>
          </w:p>
        </w:tc>
        <w:tc>
          <w:tcPr>
            <w:tcW w:w="1687" w:type="dxa"/>
            <w:shd w:val="clear" w:color="auto" w:fill="DBE5F1"/>
            <w:hideMark/>
          </w:tcPr>
          <w:p w14:paraId="233A9A74" w14:textId="77777777" w:rsidR="0090143C" w:rsidRDefault="000537B6" w:rsidP="0090143C">
            <w:pPr>
              <w:spacing w:before="34"/>
              <w:jc w:val="center"/>
            </w:pPr>
            <w:r>
              <w:t>42</w:t>
            </w:r>
            <w:r w:rsidR="0090143C">
              <w:t>%</w:t>
            </w:r>
          </w:p>
        </w:tc>
        <w:tc>
          <w:tcPr>
            <w:tcW w:w="2016" w:type="dxa"/>
            <w:shd w:val="clear" w:color="auto" w:fill="DBE5F1"/>
            <w:hideMark/>
          </w:tcPr>
          <w:p w14:paraId="1A440958" w14:textId="77777777" w:rsidR="000537B6" w:rsidRDefault="000537B6">
            <w:pPr>
              <w:spacing w:before="34"/>
              <w:jc w:val="center"/>
            </w:pPr>
            <w:r>
              <w:t>25</w:t>
            </w:r>
            <w:r w:rsidR="0090143C">
              <w:t>%</w:t>
            </w:r>
          </w:p>
        </w:tc>
        <w:tc>
          <w:tcPr>
            <w:tcW w:w="1681" w:type="dxa"/>
            <w:shd w:val="clear" w:color="auto" w:fill="DBE5F1"/>
            <w:hideMark/>
          </w:tcPr>
          <w:p w14:paraId="3F272719" w14:textId="77777777" w:rsidR="000537B6" w:rsidRDefault="000537B6">
            <w:pPr>
              <w:spacing w:before="34"/>
              <w:jc w:val="center"/>
            </w:pPr>
            <w:r>
              <w:t>33</w:t>
            </w:r>
            <w:r w:rsidR="0090143C">
              <w:t>%</w:t>
            </w:r>
          </w:p>
        </w:tc>
      </w:tr>
      <w:tr w:rsidR="000537B6" w14:paraId="37D3EC88" w14:textId="77777777" w:rsidTr="000537B6">
        <w:trPr>
          <w:trHeight w:val="285"/>
          <w:jc w:val="center"/>
        </w:trPr>
        <w:tc>
          <w:tcPr>
            <w:tcW w:w="0" w:type="auto"/>
            <w:vMerge/>
            <w:vAlign w:val="center"/>
            <w:hideMark/>
          </w:tcPr>
          <w:p w14:paraId="7A8A0659" w14:textId="77777777" w:rsidR="000537B6" w:rsidRDefault="000537B6">
            <w:pPr>
              <w:rPr>
                <w:highlight w:val="yellow"/>
              </w:rPr>
            </w:pPr>
          </w:p>
        </w:tc>
        <w:tc>
          <w:tcPr>
            <w:tcW w:w="1687" w:type="dxa"/>
            <w:shd w:val="clear" w:color="auto" w:fill="DBE5F1"/>
            <w:hideMark/>
          </w:tcPr>
          <w:p w14:paraId="1C22722E" w14:textId="77777777" w:rsidR="000537B6" w:rsidRDefault="000537B6">
            <w:pPr>
              <w:spacing w:before="34"/>
              <w:jc w:val="center"/>
            </w:pPr>
            <w:r>
              <w:t>41%</w:t>
            </w:r>
          </w:p>
        </w:tc>
        <w:tc>
          <w:tcPr>
            <w:tcW w:w="2016" w:type="dxa"/>
            <w:shd w:val="clear" w:color="auto" w:fill="DBE5F1"/>
            <w:hideMark/>
          </w:tcPr>
          <w:p w14:paraId="70830D46" w14:textId="77777777" w:rsidR="000537B6" w:rsidRDefault="000537B6">
            <w:pPr>
              <w:spacing w:before="34"/>
              <w:jc w:val="center"/>
            </w:pPr>
            <w:r>
              <w:t>44%</w:t>
            </w:r>
          </w:p>
        </w:tc>
        <w:tc>
          <w:tcPr>
            <w:tcW w:w="1681" w:type="dxa"/>
            <w:shd w:val="clear" w:color="auto" w:fill="DBE5F1"/>
            <w:hideMark/>
          </w:tcPr>
          <w:p w14:paraId="6EA129F7" w14:textId="77777777" w:rsidR="000537B6" w:rsidRDefault="000537B6">
            <w:pPr>
              <w:spacing w:before="34"/>
              <w:jc w:val="center"/>
            </w:pPr>
            <w:r>
              <w:t>15%</w:t>
            </w:r>
          </w:p>
        </w:tc>
      </w:tr>
      <w:tr w:rsidR="000537B6" w14:paraId="40B69E26" w14:textId="77777777" w:rsidTr="000537B6">
        <w:trPr>
          <w:jc w:val="center"/>
        </w:trPr>
        <w:tc>
          <w:tcPr>
            <w:tcW w:w="10141" w:type="dxa"/>
            <w:gridSpan w:val="4"/>
            <w:tcBorders>
              <w:top w:val="single" w:sz="4" w:space="0" w:color="FFFFFF"/>
              <w:left w:val="single" w:sz="4" w:space="0" w:color="FFFFFF"/>
              <w:bottom w:val="nil"/>
              <w:right w:val="single" w:sz="4" w:space="0" w:color="FFFFFF"/>
            </w:tcBorders>
            <w:shd w:val="clear" w:color="auto" w:fill="548DD4"/>
            <w:hideMark/>
          </w:tcPr>
          <w:p w14:paraId="5825E45D" w14:textId="0C491EBA" w:rsidR="000537B6" w:rsidRDefault="009B2E68" w:rsidP="009B2E68">
            <w:pPr>
              <w:spacing w:before="34"/>
              <w:jc w:val="center"/>
            </w:pPr>
            <w:r>
              <w:t xml:space="preserve">    </w:t>
            </w:r>
            <w:r w:rsidR="000537B6">
              <w:t>2014-15  iLit Student Attitude Results</w:t>
            </w:r>
          </w:p>
        </w:tc>
      </w:tr>
      <w:tr w:rsidR="000537B6" w14:paraId="1FB9367A" w14:textId="77777777" w:rsidTr="000537B6">
        <w:trPr>
          <w:jc w:val="center"/>
        </w:trPr>
        <w:tc>
          <w:tcPr>
            <w:tcW w:w="4757" w:type="dxa"/>
            <w:tcBorders>
              <w:top w:val="single" w:sz="4" w:space="0" w:color="FFFFFF"/>
              <w:left w:val="single" w:sz="4" w:space="0" w:color="FFFFFF"/>
              <w:bottom w:val="nil"/>
              <w:right w:val="nil"/>
            </w:tcBorders>
            <w:shd w:val="clear" w:color="auto" w:fill="548DD4"/>
            <w:hideMark/>
          </w:tcPr>
          <w:p w14:paraId="38DDF3E4" w14:textId="77777777" w:rsidR="000537B6" w:rsidRDefault="000537B6">
            <w:pPr>
              <w:spacing w:before="34"/>
              <w:jc w:val="center"/>
            </w:pPr>
            <w:r>
              <w:t>Question</w:t>
            </w:r>
          </w:p>
        </w:tc>
        <w:tc>
          <w:tcPr>
            <w:tcW w:w="1687" w:type="dxa"/>
            <w:tcBorders>
              <w:top w:val="single" w:sz="4" w:space="0" w:color="FFFFFF"/>
              <w:left w:val="nil"/>
              <w:bottom w:val="nil"/>
              <w:right w:val="nil"/>
            </w:tcBorders>
            <w:shd w:val="clear" w:color="auto" w:fill="548DD4"/>
            <w:hideMark/>
          </w:tcPr>
          <w:p w14:paraId="35E254BC" w14:textId="77777777" w:rsidR="000537B6" w:rsidRDefault="000537B6">
            <w:pPr>
              <w:spacing w:before="34"/>
              <w:jc w:val="center"/>
            </w:pPr>
            <w:r>
              <w:t>Yes, Definitely</w:t>
            </w:r>
          </w:p>
        </w:tc>
        <w:tc>
          <w:tcPr>
            <w:tcW w:w="2016" w:type="dxa"/>
            <w:tcBorders>
              <w:top w:val="single" w:sz="4" w:space="0" w:color="FFFFFF"/>
              <w:left w:val="nil"/>
              <w:bottom w:val="nil"/>
              <w:right w:val="nil"/>
            </w:tcBorders>
            <w:shd w:val="clear" w:color="auto" w:fill="548DD4"/>
            <w:hideMark/>
          </w:tcPr>
          <w:p w14:paraId="46D98125" w14:textId="77777777" w:rsidR="000537B6" w:rsidRDefault="000537B6">
            <w:pPr>
              <w:spacing w:before="34"/>
              <w:jc w:val="center"/>
            </w:pPr>
            <w:r>
              <w:t>Sometimes/Maybe</w:t>
            </w:r>
          </w:p>
        </w:tc>
        <w:tc>
          <w:tcPr>
            <w:tcW w:w="1681" w:type="dxa"/>
            <w:tcBorders>
              <w:top w:val="single" w:sz="4" w:space="0" w:color="FFFFFF"/>
              <w:left w:val="nil"/>
              <w:bottom w:val="nil"/>
              <w:right w:val="single" w:sz="4" w:space="0" w:color="FFFFFF"/>
            </w:tcBorders>
            <w:shd w:val="clear" w:color="auto" w:fill="548DD4"/>
            <w:hideMark/>
          </w:tcPr>
          <w:p w14:paraId="213C41E8" w14:textId="77777777" w:rsidR="000537B6" w:rsidRDefault="000537B6">
            <w:pPr>
              <w:spacing w:before="34"/>
              <w:jc w:val="center"/>
            </w:pPr>
            <w:r>
              <w:t>No, Not Really</w:t>
            </w:r>
          </w:p>
        </w:tc>
      </w:tr>
      <w:tr w:rsidR="000537B6" w14:paraId="154BC500" w14:textId="77777777" w:rsidTr="000537B6">
        <w:trPr>
          <w:jc w:val="center"/>
        </w:trPr>
        <w:tc>
          <w:tcPr>
            <w:tcW w:w="4757" w:type="dxa"/>
            <w:vMerge w:val="restart"/>
            <w:shd w:val="clear" w:color="auto" w:fill="DBE5F1"/>
            <w:hideMark/>
          </w:tcPr>
          <w:p w14:paraId="1F6BADF4" w14:textId="77777777" w:rsidR="000537B6" w:rsidRDefault="000537B6">
            <w:pPr>
              <w:spacing w:before="34"/>
              <w:rPr>
                <w:color w:val="000000"/>
              </w:rPr>
            </w:pPr>
            <w:r>
              <w:rPr>
                <w:color w:val="000000"/>
                <w:sz w:val="22"/>
                <w:szCs w:val="22"/>
              </w:rPr>
              <w:t>English class is more interesting now.</w:t>
            </w:r>
          </w:p>
          <w:p w14:paraId="00FD35FF" w14:textId="77777777" w:rsidR="000537B6" w:rsidRDefault="000537B6">
            <w:pPr>
              <w:spacing w:before="34"/>
              <w:rPr>
                <w:color w:val="000000"/>
              </w:rPr>
            </w:pPr>
            <w:r>
              <w:rPr>
                <w:color w:val="000000"/>
                <w:sz w:val="22"/>
                <w:szCs w:val="22"/>
              </w:rPr>
              <w:t>Would like to continue using iLit next school year.</w:t>
            </w:r>
          </w:p>
          <w:p w14:paraId="0D0D2EA3" w14:textId="77777777" w:rsidR="000537B6" w:rsidRDefault="000537B6">
            <w:pPr>
              <w:spacing w:before="34"/>
              <w:rPr>
                <w:highlight w:val="yellow"/>
              </w:rPr>
            </w:pPr>
            <w:r>
              <w:rPr>
                <w:color w:val="000000"/>
                <w:sz w:val="22"/>
                <w:szCs w:val="22"/>
              </w:rPr>
              <w:t>Prefer iLit to previous English class.</w:t>
            </w:r>
          </w:p>
        </w:tc>
        <w:tc>
          <w:tcPr>
            <w:tcW w:w="1687" w:type="dxa"/>
            <w:shd w:val="clear" w:color="auto" w:fill="DBE5F1"/>
            <w:hideMark/>
          </w:tcPr>
          <w:p w14:paraId="4DC2E321" w14:textId="77777777" w:rsidR="0090143C" w:rsidRDefault="000537B6" w:rsidP="0090143C">
            <w:pPr>
              <w:spacing w:before="34"/>
              <w:jc w:val="center"/>
            </w:pPr>
            <w:r>
              <w:t>31</w:t>
            </w:r>
            <w:r w:rsidR="0090143C">
              <w:t>%</w:t>
            </w:r>
          </w:p>
        </w:tc>
        <w:tc>
          <w:tcPr>
            <w:tcW w:w="2016" w:type="dxa"/>
            <w:shd w:val="clear" w:color="auto" w:fill="DBE5F1"/>
            <w:hideMark/>
          </w:tcPr>
          <w:p w14:paraId="48904C01" w14:textId="77777777" w:rsidR="000537B6" w:rsidRDefault="000537B6">
            <w:pPr>
              <w:spacing w:before="34"/>
              <w:jc w:val="center"/>
            </w:pPr>
            <w:r>
              <w:t>34</w:t>
            </w:r>
            <w:r w:rsidR="0090143C">
              <w:t>%</w:t>
            </w:r>
          </w:p>
        </w:tc>
        <w:tc>
          <w:tcPr>
            <w:tcW w:w="1681" w:type="dxa"/>
            <w:shd w:val="clear" w:color="auto" w:fill="DBE5F1"/>
            <w:hideMark/>
          </w:tcPr>
          <w:p w14:paraId="62C0B0CE" w14:textId="77777777" w:rsidR="000537B6" w:rsidRDefault="000537B6">
            <w:pPr>
              <w:spacing w:before="34"/>
              <w:jc w:val="center"/>
            </w:pPr>
            <w:r>
              <w:t>35</w:t>
            </w:r>
            <w:r w:rsidR="0090143C">
              <w:t>%</w:t>
            </w:r>
          </w:p>
        </w:tc>
      </w:tr>
      <w:tr w:rsidR="000537B6" w14:paraId="1DE0B38B" w14:textId="77777777" w:rsidTr="000537B6">
        <w:trPr>
          <w:jc w:val="center"/>
        </w:trPr>
        <w:tc>
          <w:tcPr>
            <w:tcW w:w="0" w:type="auto"/>
            <w:vMerge/>
            <w:vAlign w:val="center"/>
            <w:hideMark/>
          </w:tcPr>
          <w:p w14:paraId="16D155A3" w14:textId="77777777" w:rsidR="000537B6" w:rsidRDefault="000537B6">
            <w:pPr>
              <w:rPr>
                <w:highlight w:val="yellow"/>
              </w:rPr>
            </w:pPr>
          </w:p>
        </w:tc>
        <w:tc>
          <w:tcPr>
            <w:tcW w:w="1687" w:type="dxa"/>
            <w:shd w:val="clear" w:color="auto" w:fill="DBE5F1"/>
            <w:hideMark/>
          </w:tcPr>
          <w:p w14:paraId="77CF1060" w14:textId="77777777" w:rsidR="000537B6" w:rsidRDefault="000537B6">
            <w:pPr>
              <w:spacing w:before="34"/>
              <w:jc w:val="center"/>
            </w:pPr>
            <w:r>
              <w:t>14%</w:t>
            </w:r>
          </w:p>
        </w:tc>
        <w:tc>
          <w:tcPr>
            <w:tcW w:w="2016" w:type="dxa"/>
            <w:shd w:val="clear" w:color="auto" w:fill="DBE5F1"/>
            <w:hideMark/>
          </w:tcPr>
          <w:p w14:paraId="5DB41BA0" w14:textId="77777777" w:rsidR="000537B6" w:rsidRDefault="000537B6">
            <w:pPr>
              <w:spacing w:before="34"/>
              <w:jc w:val="center"/>
            </w:pPr>
            <w:r>
              <w:t>26%</w:t>
            </w:r>
          </w:p>
        </w:tc>
        <w:tc>
          <w:tcPr>
            <w:tcW w:w="1681" w:type="dxa"/>
            <w:shd w:val="clear" w:color="auto" w:fill="DBE5F1"/>
            <w:hideMark/>
          </w:tcPr>
          <w:p w14:paraId="6194A091" w14:textId="77777777" w:rsidR="000537B6" w:rsidRDefault="000537B6">
            <w:pPr>
              <w:spacing w:before="34"/>
              <w:jc w:val="center"/>
            </w:pPr>
            <w:r>
              <w:t>60%</w:t>
            </w:r>
          </w:p>
        </w:tc>
      </w:tr>
      <w:tr w:rsidR="000537B6" w14:paraId="137A9D6D" w14:textId="77777777" w:rsidTr="000537B6">
        <w:trPr>
          <w:trHeight w:val="285"/>
          <w:jc w:val="center"/>
        </w:trPr>
        <w:tc>
          <w:tcPr>
            <w:tcW w:w="0" w:type="auto"/>
            <w:vMerge/>
            <w:vAlign w:val="center"/>
            <w:hideMark/>
          </w:tcPr>
          <w:p w14:paraId="50549F4E" w14:textId="77777777" w:rsidR="000537B6" w:rsidRDefault="000537B6">
            <w:pPr>
              <w:rPr>
                <w:highlight w:val="yellow"/>
              </w:rPr>
            </w:pPr>
          </w:p>
        </w:tc>
        <w:tc>
          <w:tcPr>
            <w:tcW w:w="1687" w:type="dxa"/>
            <w:shd w:val="clear" w:color="auto" w:fill="DBE5F1"/>
            <w:hideMark/>
          </w:tcPr>
          <w:p w14:paraId="59705BEF" w14:textId="77777777" w:rsidR="000537B6" w:rsidRDefault="000537B6">
            <w:pPr>
              <w:spacing w:before="34"/>
              <w:jc w:val="center"/>
            </w:pPr>
            <w:r>
              <w:t>29%</w:t>
            </w:r>
          </w:p>
        </w:tc>
        <w:tc>
          <w:tcPr>
            <w:tcW w:w="2016" w:type="dxa"/>
            <w:shd w:val="clear" w:color="auto" w:fill="DBE5F1"/>
            <w:hideMark/>
          </w:tcPr>
          <w:p w14:paraId="4683CF8B" w14:textId="77777777" w:rsidR="000537B6" w:rsidRDefault="000537B6">
            <w:pPr>
              <w:spacing w:before="34"/>
              <w:jc w:val="center"/>
            </w:pPr>
            <w:r>
              <w:t>32%</w:t>
            </w:r>
          </w:p>
        </w:tc>
        <w:tc>
          <w:tcPr>
            <w:tcW w:w="1681" w:type="dxa"/>
            <w:shd w:val="clear" w:color="auto" w:fill="DBE5F1"/>
            <w:hideMark/>
          </w:tcPr>
          <w:p w14:paraId="49BDDAAB" w14:textId="77777777" w:rsidR="000537B6" w:rsidRDefault="000537B6">
            <w:pPr>
              <w:spacing w:before="34"/>
              <w:jc w:val="center"/>
            </w:pPr>
            <w:r>
              <w:t>39%</w:t>
            </w:r>
          </w:p>
        </w:tc>
      </w:tr>
    </w:tbl>
    <w:p w14:paraId="61F62720" w14:textId="77777777" w:rsidR="000537B6" w:rsidRDefault="000537B6" w:rsidP="000537B6">
      <w:pPr>
        <w:jc w:val="both"/>
        <w:rPr>
          <w:color w:val="000000"/>
        </w:rPr>
      </w:pPr>
    </w:p>
    <w:p w14:paraId="3B47F03C" w14:textId="77777777" w:rsidR="00C11E87" w:rsidRDefault="00C11E87" w:rsidP="000537B6">
      <w:pPr>
        <w:jc w:val="both"/>
        <w:rPr>
          <w:color w:val="000000"/>
        </w:rPr>
      </w:pPr>
    </w:p>
    <w:p w14:paraId="51D80011" w14:textId="77777777" w:rsidR="003D244A" w:rsidRPr="00C11E87" w:rsidRDefault="003D244A" w:rsidP="003D7BFE">
      <w:pPr>
        <w:jc w:val="both"/>
        <w:rPr>
          <w:b/>
          <w:i/>
          <w:color w:val="000080"/>
          <w:sz w:val="28"/>
          <w:szCs w:val="28"/>
        </w:rPr>
      </w:pPr>
      <w:r w:rsidRPr="00C11E87">
        <w:rPr>
          <w:b/>
          <w:i/>
          <w:color w:val="000080"/>
          <w:sz w:val="28"/>
          <w:szCs w:val="28"/>
        </w:rPr>
        <w:t>Teacher iLit Attitudes</w:t>
      </w:r>
    </w:p>
    <w:p w14:paraId="668776F2" w14:textId="4B21C01F" w:rsidR="006D1BEF" w:rsidRDefault="003D244A" w:rsidP="001C3E0F">
      <w:pPr>
        <w:jc w:val="both"/>
      </w:pPr>
      <w:r w:rsidRPr="00C11E87">
        <w:t>Opinions about the iLit program were systematically collected from teachers with online surveys, as well as, during focus group sessions.  There were 8 iLit teachers in the initial school year and</w:t>
      </w:r>
      <w:r w:rsidR="00743732">
        <w:t xml:space="preserve"> 7 in the second,</w:t>
      </w:r>
      <w:r w:rsidRPr="00C11E87">
        <w:t xml:space="preserve"> all </w:t>
      </w:r>
      <w:r w:rsidR="0066262C">
        <w:t>attended t</w:t>
      </w:r>
      <w:r w:rsidRPr="00C11E87">
        <w:t xml:space="preserve">he focus groups and completed the surveys.  </w:t>
      </w:r>
    </w:p>
    <w:p w14:paraId="75EB1BE5" w14:textId="77777777" w:rsidR="006D1BEF" w:rsidRDefault="006D1BEF" w:rsidP="001C3E0F">
      <w:pPr>
        <w:jc w:val="both"/>
      </w:pPr>
    </w:p>
    <w:p w14:paraId="579A154E" w14:textId="3D504B28" w:rsidR="0051228A" w:rsidRDefault="001C3E0F" w:rsidP="003D7BFE">
      <w:pPr>
        <w:jc w:val="both"/>
        <w:rPr>
          <w:color w:val="000000"/>
        </w:rPr>
      </w:pPr>
      <w:r w:rsidRPr="00C11E87">
        <w:rPr>
          <w:color w:val="000000"/>
        </w:rPr>
        <w:t xml:space="preserve">The iLit teachers’ focus group responses collected in the initial school year were overall very positive, with 81% of 213 recorded comments coded as positive in nature.  Further, general opinions and impressions of the program were very positive (i.e., 92%, 12/13 </w:t>
      </w:r>
      <w:r w:rsidR="00F176C1">
        <w:rPr>
          <w:color w:val="000000"/>
        </w:rPr>
        <w:t xml:space="preserve">focus group </w:t>
      </w:r>
      <w:r w:rsidRPr="00C11E87">
        <w:rPr>
          <w:color w:val="000000"/>
        </w:rPr>
        <w:t>responses).</w:t>
      </w:r>
      <w:r w:rsidR="00743732">
        <w:rPr>
          <w:color w:val="000000"/>
        </w:rPr>
        <w:t xml:space="preserve">  The second school year again produced </w:t>
      </w:r>
      <w:r w:rsidR="00296779">
        <w:rPr>
          <w:color w:val="000000"/>
        </w:rPr>
        <w:t>a</w:t>
      </w:r>
      <w:r w:rsidR="00F176C1">
        <w:rPr>
          <w:color w:val="000000"/>
        </w:rPr>
        <w:t>n overall</w:t>
      </w:r>
      <w:r w:rsidR="00296779">
        <w:rPr>
          <w:color w:val="000000"/>
        </w:rPr>
        <w:t xml:space="preserve"> majority of</w:t>
      </w:r>
      <w:r w:rsidR="00F176C1">
        <w:rPr>
          <w:color w:val="000000"/>
        </w:rPr>
        <w:t xml:space="preserve"> </w:t>
      </w:r>
      <w:r w:rsidR="00743732">
        <w:rPr>
          <w:color w:val="000000"/>
        </w:rPr>
        <w:t>positive re</w:t>
      </w:r>
      <w:r w:rsidR="00296779">
        <w:rPr>
          <w:color w:val="000000"/>
        </w:rPr>
        <w:t xml:space="preserve">sponses (i.e., </w:t>
      </w:r>
      <w:r w:rsidR="00F176C1">
        <w:rPr>
          <w:color w:val="000000"/>
        </w:rPr>
        <w:t xml:space="preserve">69% </w:t>
      </w:r>
      <w:r w:rsidR="00296779">
        <w:rPr>
          <w:color w:val="000000"/>
        </w:rPr>
        <w:t>of 225</w:t>
      </w:r>
      <w:r w:rsidR="00F176C1">
        <w:rPr>
          <w:color w:val="000000"/>
        </w:rPr>
        <w:t xml:space="preserve"> focus group responses</w:t>
      </w:r>
      <w:r w:rsidR="00296779">
        <w:rPr>
          <w:color w:val="000000"/>
        </w:rPr>
        <w:t>)</w:t>
      </w:r>
      <w:r w:rsidR="00743732">
        <w:rPr>
          <w:color w:val="000000"/>
        </w:rPr>
        <w:t xml:space="preserve"> </w:t>
      </w:r>
      <w:r w:rsidR="00F176C1">
        <w:rPr>
          <w:color w:val="000000"/>
        </w:rPr>
        <w:t>with</w:t>
      </w:r>
      <w:r w:rsidR="00FB3DF1">
        <w:rPr>
          <w:color w:val="000000"/>
        </w:rPr>
        <w:t xml:space="preserve"> 76% (i.e., 13/17 </w:t>
      </w:r>
      <w:r w:rsidR="00F176C1">
        <w:rPr>
          <w:color w:val="000000"/>
        </w:rPr>
        <w:t xml:space="preserve">focus group </w:t>
      </w:r>
      <w:r w:rsidR="00FB3DF1">
        <w:rPr>
          <w:color w:val="000000"/>
        </w:rPr>
        <w:t>responses) of general impressions still positive</w:t>
      </w:r>
      <w:r w:rsidR="00970EE2">
        <w:rPr>
          <w:color w:val="000000"/>
        </w:rPr>
        <w:t xml:space="preserve">.  </w:t>
      </w:r>
    </w:p>
    <w:p w14:paraId="0E1295F1" w14:textId="77777777" w:rsidR="001441CA" w:rsidRDefault="001441CA" w:rsidP="003D7BFE">
      <w:pPr>
        <w:jc w:val="both"/>
        <w:rPr>
          <w:b/>
          <w:i/>
          <w:color w:val="000080"/>
          <w:sz w:val="28"/>
          <w:szCs w:val="28"/>
        </w:rPr>
      </w:pPr>
    </w:p>
    <w:p w14:paraId="4B6B353A" w14:textId="4D854E1D" w:rsidR="003D244A" w:rsidRPr="00893041" w:rsidRDefault="003D244A" w:rsidP="003D7BFE">
      <w:pPr>
        <w:jc w:val="both"/>
        <w:rPr>
          <w:b/>
          <w:i/>
          <w:color w:val="000080"/>
          <w:sz w:val="28"/>
          <w:szCs w:val="28"/>
        </w:rPr>
      </w:pPr>
      <w:r w:rsidRPr="00893041">
        <w:rPr>
          <w:b/>
          <w:i/>
          <w:color w:val="000080"/>
          <w:sz w:val="28"/>
          <w:szCs w:val="28"/>
        </w:rPr>
        <w:lastRenderedPageBreak/>
        <w:t>The focus group responses to iLit were overall very positive in 2013-14, with 81% of responses coded as positive in nature.</w:t>
      </w:r>
      <w:r w:rsidR="00893041" w:rsidRPr="00893041">
        <w:rPr>
          <w:b/>
          <w:i/>
          <w:color w:val="000080"/>
          <w:sz w:val="28"/>
          <w:szCs w:val="28"/>
        </w:rPr>
        <w:t xml:space="preserve"> Responses remained positive in the second school year with 69% positive comments overall.</w:t>
      </w:r>
      <w:r w:rsidRPr="00893041">
        <w:rPr>
          <w:b/>
          <w:i/>
          <w:color w:val="000080"/>
          <w:sz w:val="28"/>
          <w:szCs w:val="28"/>
        </w:rPr>
        <w:t xml:space="preserve">  </w:t>
      </w:r>
    </w:p>
    <w:p w14:paraId="6AE5D174" w14:textId="77777777" w:rsidR="00586F79" w:rsidRPr="00893041" w:rsidRDefault="00586F79" w:rsidP="00F81E77">
      <w:pPr>
        <w:jc w:val="both"/>
        <w:rPr>
          <w:color w:val="000000"/>
        </w:rPr>
      </w:pPr>
    </w:p>
    <w:p w14:paraId="0DA131C0" w14:textId="77777777" w:rsidR="003D244A" w:rsidRPr="00254EB5" w:rsidRDefault="003D244A" w:rsidP="003D7BFE">
      <w:pPr>
        <w:jc w:val="both"/>
        <w:rPr>
          <w:color w:val="000000"/>
        </w:rPr>
      </w:pPr>
      <w:r w:rsidRPr="00254EB5">
        <w:rPr>
          <w:color w:val="000000"/>
        </w:rPr>
        <w:t xml:space="preserve">When surveyed at the end of the </w:t>
      </w:r>
      <w:r w:rsidR="00254EB5" w:rsidRPr="00254EB5">
        <w:rPr>
          <w:color w:val="000000"/>
        </w:rPr>
        <w:t xml:space="preserve">first </w:t>
      </w:r>
      <w:r w:rsidRPr="00254EB5">
        <w:rPr>
          <w:color w:val="000000"/>
        </w:rPr>
        <w:t xml:space="preserve">school year, half of the iLit teachers said they would definitely recommend the program.  As one of these teachers offered, </w:t>
      </w:r>
      <w:r w:rsidRPr="00254EB5">
        <w:rPr>
          <w:i/>
          <w:color w:val="000080"/>
        </w:rPr>
        <w:t>“iLit is an amazing program. I have been teaching for 16 years and it is the most engaging, comprehensive program that I have come across.”</w:t>
      </w:r>
      <w:r w:rsidRPr="00254EB5">
        <w:rPr>
          <w:color w:val="000000"/>
        </w:rPr>
        <w:t xml:space="preserve"> Only a single iLit teacher said they would not recommend the program.  This teacher felt the program was bland, too scripted, and the “glitchiness of the application” often interfered with successful instruction. This teacher also felt the independent learning portions of the program required the students to self-regulate and stay on task, a potential challenge</w:t>
      </w:r>
      <w:r w:rsidR="00C01565" w:rsidRPr="00254EB5">
        <w:rPr>
          <w:color w:val="000000"/>
        </w:rPr>
        <w:t xml:space="preserve"> when teaching</w:t>
      </w:r>
      <w:r w:rsidRPr="00254EB5">
        <w:rPr>
          <w:color w:val="000000"/>
        </w:rPr>
        <w:t xml:space="preserve"> alone in a class </w:t>
      </w:r>
      <w:r w:rsidR="00C01565" w:rsidRPr="00254EB5">
        <w:rPr>
          <w:color w:val="000000"/>
        </w:rPr>
        <w:t>with</w:t>
      </w:r>
      <w:r w:rsidRPr="00254EB5">
        <w:rPr>
          <w:color w:val="000000"/>
        </w:rPr>
        <w:t xml:space="preserve"> 23 at-risk students.  </w:t>
      </w:r>
    </w:p>
    <w:p w14:paraId="7BFE47B9" w14:textId="77777777" w:rsidR="004D5F5D" w:rsidRPr="00254EB5" w:rsidRDefault="004D5F5D" w:rsidP="003D7BFE">
      <w:pPr>
        <w:jc w:val="both"/>
        <w:rPr>
          <w:color w:val="000000"/>
        </w:rPr>
      </w:pPr>
    </w:p>
    <w:p w14:paraId="65126E27" w14:textId="77777777" w:rsidR="003D244A" w:rsidRPr="00B05DAC" w:rsidRDefault="003D244A" w:rsidP="003D7BFE">
      <w:pPr>
        <w:jc w:val="both"/>
        <w:rPr>
          <w:color w:val="000000"/>
        </w:rPr>
      </w:pPr>
      <w:r w:rsidRPr="00B05DAC">
        <w:rPr>
          <w:color w:val="000000"/>
        </w:rPr>
        <w:t>Teachers felt the program was easy to implement i</w:t>
      </w:r>
      <w:r w:rsidR="00B05DAC" w:rsidRPr="00B05DAC">
        <w:rPr>
          <w:color w:val="000000"/>
        </w:rPr>
        <w:t>n the classroom, well-paced</w:t>
      </w:r>
      <w:r w:rsidRPr="00B05DAC">
        <w:rPr>
          <w:color w:val="000000"/>
        </w:rPr>
        <w:t xml:space="preserve">, and liked the daily </w:t>
      </w:r>
      <w:r w:rsidRPr="00975803">
        <w:rPr>
          <w:color w:val="000000"/>
        </w:rPr>
        <w:t>components o</w:t>
      </w:r>
      <w:r w:rsidR="00B05DAC" w:rsidRPr="00975803">
        <w:rPr>
          <w:color w:val="000000"/>
        </w:rPr>
        <w:t>f the program</w:t>
      </w:r>
      <w:r w:rsidRPr="00975803">
        <w:rPr>
          <w:color w:val="000000"/>
        </w:rPr>
        <w:t xml:space="preserve">.  Comments regarding pre-prepared lessons (i.e., time and effort, completeness, delivery, student interaction) and teacher support (i.e., access to student data, assigning and grading) were </w:t>
      </w:r>
      <w:r w:rsidR="00975803" w:rsidRPr="00975803">
        <w:rPr>
          <w:color w:val="000000"/>
        </w:rPr>
        <w:t xml:space="preserve">nearly </w:t>
      </w:r>
      <w:r w:rsidRPr="00975803">
        <w:rPr>
          <w:color w:val="000000"/>
        </w:rPr>
        <w:t>all posit</w:t>
      </w:r>
      <w:r w:rsidR="00C21AF9" w:rsidRPr="00975803">
        <w:rPr>
          <w:color w:val="000000"/>
        </w:rPr>
        <w:t>ive in nature</w:t>
      </w:r>
      <w:r w:rsidRPr="00975803">
        <w:rPr>
          <w:color w:val="000000"/>
        </w:rPr>
        <w:t>.</w:t>
      </w:r>
      <w:r w:rsidR="00975803" w:rsidRPr="00975803">
        <w:rPr>
          <w:color w:val="000000"/>
        </w:rPr>
        <w:t xml:space="preserve">  Some teachers did, however, feel they often needed to score the writing assignments themselves.</w:t>
      </w:r>
      <w:r w:rsidRPr="00975803">
        <w:rPr>
          <w:color w:val="000000"/>
        </w:rPr>
        <w:t xml:space="preserve">  </w:t>
      </w:r>
      <w:r w:rsidRPr="00B05DAC">
        <w:rPr>
          <w:color w:val="000000"/>
        </w:rPr>
        <w:t>Further, teachers generally agreed the program’s content was appropriately difficult an</w:t>
      </w:r>
      <w:r w:rsidR="00396B84">
        <w:rPr>
          <w:color w:val="000000"/>
        </w:rPr>
        <w:t>d personalized</w:t>
      </w:r>
      <w:r w:rsidRPr="00B05DAC">
        <w:rPr>
          <w:color w:val="000000"/>
        </w:rPr>
        <w:t>, with adequate skills practice and progre</w:t>
      </w:r>
      <w:r w:rsidR="00396B84">
        <w:rPr>
          <w:color w:val="000000"/>
        </w:rPr>
        <w:t>ss monitoring</w:t>
      </w:r>
      <w:r w:rsidRPr="00B05DAC">
        <w:rPr>
          <w:color w:val="000000"/>
        </w:rPr>
        <w:t>.  Lastly, when surveyed, all but one teacher agreed the program fit with their instructional philosophy.</w:t>
      </w:r>
    </w:p>
    <w:p w14:paraId="0F18C861" w14:textId="77777777" w:rsidR="003D244A" w:rsidRPr="00B05DAC" w:rsidRDefault="003D244A" w:rsidP="003D7BFE">
      <w:pPr>
        <w:jc w:val="both"/>
        <w:rPr>
          <w:color w:val="000000"/>
        </w:rPr>
      </w:pPr>
    </w:p>
    <w:p w14:paraId="44CBEE88" w14:textId="192CC7B0" w:rsidR="003D244A" w:rsidRDefault="003D244A" w:rsidP="003D7BFE">
      <w:pPr>
        <w:jc w:val="both"/>
        <w:rPr>
          <w:color w:val="000000"/>
        </w:rPr>
      </w:pPr>
      <w:r w:rsidRPr="00FF3781">
        <w:rPr>
          <w:color w:val="000000"/>
        </w:rPr>
        <w:t xml:space="preserve">All classrooms experienced technology issues throughout the </w:t>
      </w:r>
      <w:r w:rsidR="00F176C1">
        <w:rPr>
          <w:color w:val="000000"/>
        </w:rPr>
        <w:t xml:space="preserve">two </w:t>
      </w:r>
      <w:r w:rsidRPr="00FF3781">
        <w:rPr>
          <w:color w:val="000000"/>
        </w:rPr>
        <w:t>school year</w:t>
      </w:r>
      <w:r w:rsidR="00F176C1">
        <w:rPr>
          <w:color w:val="000000"/>
        </w:rPr>
        <w:t>s</w:t>
      </w:r>
      <w:r w:rsidRPr="00FF3781">
        <w:rPr>
          <w:color w:val="000000"/>
        </w:rPr>
        <w:t>.  Most of the time these issues could be attributed to a site’s local infrastructure, however, teachers did experience occasionally missing components, freezing, students being kick off or difficulty logging in, and assignments not sent in or pushed out.  This being said,</w:t>
      </w:r>
      <w:r w:rsidR="00680CF9" w:rsidRPr="00FF3781">
        <w:rPr>
          <w:color w:val="000000"/>
        </w:rPr>
        <w:t xml:space="preserve"> </w:t>
      </w:r>
      <w:r w:rsidR="00FF3781">
        <w:rPr>
          <w:color w:val="000000"/>
        </w:rPr>
        <w:t>the majority of technology issues were dealt with in 2013 and the teachers were much more</w:t>
      </w:r>
      <w:r w:rsidR="00680CF9" w:rsidRPr="00FF3781">
        <w:rPr>
          <w:color w:val="000000"/>
        </w:rPr>
        <w:t xml:space="preserve"> positive </w:t>
      </w:r>
      <w:r w:rsidRPr="00FF3781">
        <w:rPr>
          <w:color w:val="000000"/>
        </w:rPr>
        <w:t xml:space="preserve">with the </w:t>
      </w:r>
      <w:r w:rsidR="00680CF9" w:rsidRPr="00FF3781">
        <w:rPr>
          <w:color w:val="000000"/>
        </w:rPr>
        <w:t xml:space="preserve">digital </w:t>
      </w:r>
      <w:r w:rsidR="00FF3781" w:rsidRPr="00FF3781">
        <w:rPr>
          <w:color w:val="000000"/>
        </w:rPr>
        <w:t xml:space="preserve">delivery in </w:t>
      </w:r>
      <w:r w:rsidR="00FF3781">
        <w:rPr>
          <w:color w:val="000000"/>
        </w:rPr>
        <w:t xml:space="preserve">the </w:t>
      </w:r>
      <w:r w:rsidR="00FF3781" w:rsidRPr="00FF3781">
        <w:rPr>
          <w:color w:val="000000"/>
        </w:rPr>
        <w:t>second school year</w:t>
      </w:r>
      <w:r w:rsidR="00FF3781">
        <w:rPr>
          <w:color w:val="000000"/>
        </w:rPr>
        <w:t xml:space="preserve"> (i.e., 25% to 60% positive comments)</w:t>
      </w:r>
      <w:r w:rsidRPr="00FF3781">
        <w:rPr>
          <w:color w:val="000000"/>
        </w:rPr>
        <w:t>.</w:t>
      </w:r>
      <w:r w:rsidR="00C72651">
        <w:rPr>
          <w:color w:val="000000"/>
        </w:rPr>
        <w:t xml:space="preserve">  All teachers agreed problems were negligible the second school year.</w:t>
      </w:r>
      <w:r w:rsidRPr="00FF3781">
        <w:rPr>
          <w:color w:val="000000"/>
        </w:rPr>
        <w:t xml:space="preserve"> </w:t>
      </w:r>
    </w:p>
    <w:p w14:paraId="5E8AA136" w14:textId="77777777" w:rsidR="007E3964" w:rsidRPr="00165DDC" w:rsidRDefault="007E3964" w:rsidP="003D7BFE">
      <w:pPr>
        <w:jc w:val="both"/>
        <w:rPr>
          <w:color w:val="000000"/>
        </w:rPr>
      </w:pPr>
    </w:p>
    <w:p w14:paraId="07576B3D" w14:textId="77777777" w:rsidR="003D244A" w:rsidRPr="00037EBC" w:rsidRDefault="003D244A" w:rsidP="003D7BFE">
      <w:pPr>
        <w:jc w:val="both"/>
        <w:rPr>
          <w:color w:val="000000"/>
        </w:rPr>
      </w:pPr>
      <w:r w:rsidRPr="00037EBC">
        <w:rPr>
          <w:color w:val="000000"/>
        </w:rPr>
        <w:t>Teachers felt their students were engaged by the pro</w:t>
      </w:r>
      <w:r w:rsidR="00580C4B" w:rsidRPr="00037EBC">
        <w:rPr>
          <w:color w:val="000000"/>
        </w:rPr>
        <w:t>gram through the tablet</w:t>
      </w:r>
      <w:r w:rsidRPr="00037EBC">
        <w:rPr>
          <w:color w:val="000000"/>
        </w:rPr>
        <w:t xml:space="preserve"> use, interactivity, lesson presentations, and plethora of independent re</w:t>
      </w:r>
      <w:r w:rsidR="00580C4B" w:rsidRPr="00037EBC">
        <w:rPr>
          <w:color w:val="000000"/>
        </w:rPr>
        <w:t>ading stories</w:t>
      </w:r>
      <w:r w:rsidRPr="00037EBC">
        <w:rPr>
          <w:color w:val="000000"/>
        </w:rPr>
        <w:t xml:space="preserve">.  It was, however, apparent that these teachers also felt the motivation of their classrooms fell off as the </w:t>
      </w:r>
      <w:r w:rsidR="00580C4B" w:rsidRPr="00037EBC">
        <w:rPr>
          <w:color w:val="000000"/>
        </w:rPr>
        <w:t xml:space="preserve">initial </w:t>
      </w:r>
      <w:r w:rsidRPr="00037EBC">
        <w:rPr>
          <w:color w:val="000000"/>
        </w:rPr>
        <w:t>school year progressed.  This drop off in motivation was attributed to a combination of the relatively long 90 minute blocks and the routine nature of the program.</w:t>
      </w:r>
      <w:r w:rsidR="00037EBC" w:rsidRPr="00037EBC">
        <w:rPr>
          <w:color w:val="000000"/>
        </w:rPr>
        <w:t xml:space="preserve">  Teachers felt student motivation picked up in the second school year.</w:t>
      </w:r>
      <w:r w:rsidRPr="00037EBC">
        <w:rPr>
          <w:color w:val="000000"/>
        </w:rPr>
        <w:t xml:space="preserve">  </w:t>
      </w:r>
      <w:r w:rsidR="00037EBC" w:rsidRPr="00037EBC">
        <w:rPr>
          <w:color w:val="000000"/>
        </w:rPr>
        <w:t>This was attributed to occasionally changing</w:t>
      </w:r>
      <w:r w:rsidRPr="00037EBC">
        <w:rPr>
          <w:color w:val="000000"/>
        </w:rPr>
        <w:t xml:space="preserve"> u</w:t>
      </w:r>
      <w:r w:rsidR="00037EBC" w:rsidRPr="00037EBC">
        <w:rPr>
          <w:color w:val="000000"/>
        </w:rPr>
        <w:t>p the order of the component,</w:t>
      </w:r>
      <w:r w:rsidRPr="00037EBC">
        <w:rPr>
          <w:color w:val="000000"/>
        </w:rPr>
        <w:t xml:space="preserve"> supplementing the program (ex., incorporate fun seasonal or topical activities)</w:t>
      </w:r>
      <w:r w:rsidR="00037EBC" w:rsidRPr="00037EBC">
        <w:rPr>
          <w:color w:val="000000"/>
        </w:rPr>
        <w:t>, and reducing the daily time on the program</w:t>
      </w:r>
      <w:r w:rsidRPr="00037EBC">
        <w:rPr>
          <w:color w:val="000000"/>
        </w:rPr>
        <w:t>.</w:t>
      </w:r>
    </w:p>
    <w:p w14:paraId="3FB9B5BD" w14:textId="77777777" w:rsidR="003D244A" w:rsidRDefault="003D244A" w:rsidP="003D7BFE">
      <w:pPr>
        <w:jc w:val="both"/>
        <w:rPr>
          <w:color w:val="000000"/>
        </w:rPr>
      </w:pPr>
    </w:p>
    <w:p w14:paraId="527DDE70" w14:textId="77777777" w:rsidR="003D244A" w:rsidRDefault="003D244A" w:rsidP="003D7BFE">
      <w:pPr>
        <w:autoSpaceDE w:val="0"/>
        <w:autoSpaceDN w:val="0"/>
        <w:adjustRightInd w:val="0"/>
      </w:pPr>
    </w:p>
    <w:p w14:paraId="41CB532B" w14:textId="77777777" w:rsidR="00020C86" w:rsidRDefault="00020C86">
      <w:r>
        <w:br w:type="page"/>
      </w:r>
    </w:p>
    <w:p w14:paraId="3042625A" w14:textId="77777777" w:rsidR="003D244A" w:rsidRPr="003D7BFE" w:rsidRDefault="003D244A" w:rsidP="003D7BFE">
      <w:pPr>
        <w:jc w:val="center"/>
        <w:rPr>
          <w:b/>
          <w:color w:val="FFFF99"/>
          <w:sz w:val="8"/>
          <w:szCs w:val="8"/>
          <w:highlight w:val="darkBlue"/>
        </w:rPr>
      </w:pPr>
      <w:r w:rsidRPr="003D7BFE">
        <w:rPr>
          <w:b/>
          <w:color w:val="FFFF99"/>
          <w:sz w:val="8"/>
          <w:szCs w:val="8"/>
          <w:highlight w:val="darkBlue"/>
        </w:rPr>
        <w:lastRenderedPageBreak/>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7DC3E657" w14:textId="77777777" w:rsidR="003D244A" w:rsidRPr="006268F8" w:rsidRDefault="003D244A" w:rsidP="003D7BFE">
      <w:pPr>
        <w:rPr>
          <w:b/>
          <w:color w:val="000080"/>
          <w:sz w:val="28"/>
          <w:szCs w:val="28"/>
        </w:rPr>
      </w:pPr>
      <w:r w:rsidRPr="006268F8">
        <w:rPr>
          <w:b/>
          <w:color w:val="000080"/>
          <w:sz w:val="28"/>
          <w:szCs w:val="28"/>
        </w:rPr>
        <w:t xml:space="preserve">                        </w:t>
      </w:r>
      <w:r w:rsidRPr="006268F8">
        <w:rPr>
          <w:b/>
          <w:color w:val="000080"/>
          <w:sz w:val="28"/>
          <w:szCs w:val="28"/>
        </w:rPr>
        <w:tab/>
      </w:r>
      <w:r w:rsidRPr="006268F8">
        <w:rPr>
          <w:b/>
          <w:color w:val="000080"/>
          <w:sz w:val="28"/>
          <w:szCs w:val="28"/>
        </w:rPr>
        <w:tab/>
      </w:r>
      <w:r w:rsidRPr="006268F8">
        <w:rPr>
          <w:b/>
          <w:color w:val="000080"/>
          <w:sz w:val="28"/>
          <w:szCs w:val="28"/>
        </w:rPr>
        <w:tab/>
        <w:t>IV. DISCUSSION</w:t>
      </w:r>
      <w:r w:rsidRPr="006268F8">
        <w:rPr>
          <w:b/>
          <w:color w:val="000080"/>
          <w:sz w:val="28"/>
          <w:szCs w:val="28"/>
        </w:rPr>
        <w:tab/>
      </w:r>
      <w:r w:rsidRPr="006268F8">
        <w:rPr>
          <w:b/>
          <w:color w:val="000080"/>
          <w:sz w:val="28"/>
          <w:szCs w:val="28"/>
        </w:rPr>
        <w:tab/>
      </w:r>
      <w:r w:rsidRPr="006268F8">
        <w:rPr>
          <w:b/>
          <w:color w:val="000080"/>
          <w:sz w:val="28"/>
          <w:szCs w:val="28"/>
        </w:rPr>
        <w:tab/>
      </w:r>
      <w:r w:rsidRPr="006268F8">
        <w:rPr>
          <w:b/>
          <w:color w:val="000080"/>
          <w:sz w:val="28"/>
          <w:szCs w:val="28"/>
        </w:rPr>
        <w:tab/>
      </w:r>
      <w:r w:rsidRPr="006268F8">
        <w:rPr>
          <w:b/>
          <w:color w:val="000080"/>
          <w:sz w:val="28"/>
          <w:szCs w:val="28"/>
        </w:rPr>
        <w:tab/>
      </w:r>
    </w:p>
    <w:p w14:paraId="5F689B07" w14:textId="77777777" w:rsidR="003D244A" w:rsidRPr="003D7BFE" w:rsidRDefault="003D244A" w:rsidP="003D7BFE">
      <w:pPr>
        <w:autoSpaceDE w:val="0"/>
        <w:autoSpaceDN w:val="0"/>
        <w:adjustRightInd w:val="0"/>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4B104C76" w14:textId="6EC3D013" w:rsidR="003D244A" w:rsidRDefault="003D244A" w:rsidP="003D7BFE">
      <w:pPr>
        <w:rPr>
          <w:color w:val="000000"/>
        </w:rPr>
      </w:pPr>
    </w:p>
    <w:p w14:paraId="3E837971" w14:textId="77777777" w:rsidR="00A0754C" w:rsidRPr="00C23C10" w:rsidRDefault="00A0754C" w:rsidP="00A0754C">
      <w:pPr>
        <w:jc w:val="both"/>
        <w:rPr>
          <w:b/>
          <w:i/>
          <w:color w:val="000080"/>
          <w:sz w:val="28"/>
          <w:szCs w:val="28"/>
        </w:rPr>
      </w:pPr>
      <w:r w:rsidRPr="00C23C10">
        <w:rPr>
          <w:b/>
          <w:i/>
          <w:color w:val="000080"/>
          <w:sz w:val="28"/>
          <w:szCs w:val="28"/>
        </w:rPr>
        <w:t>The study sample was diverse and consisted of 283 below grade level 7</w:t>
      </w:r>
      <w:r w:rsidRPr="00C23C10">
        <w:rPr>
          <w:b/>
          <w:i/>
          <w:color w:val="000080"/>
          <w:sz w:val="28"/>
          <w:szCs w:val="28"/>
          <w:vertAlign w:val="superscript"/>
        </w:rPr>
        <w:t>th</w:t>
      </w:r>
      <w:r w:rsidRPr="00C23C10">
        <w:rPr>
          <w:b/>
          <w:i/>
          <w:color w:val="000080"/>
          <w:sz w:val="28"/>
          <w:szCs w:val="28"/>
        </w:rPr>
        <w:t>-8</w:t>
      </w:r>
      <w:r w:rsidRPr="00C23C10">
        <w:rPr>
          <w:b/>
          <w:i/>
          <w:color w:val="000080"/>
          <w:sz w:val="28"/>
          <w:szCs w:val="28"/>
          <w:vertAlign w:val="superscript"/>
        </w:rPr>
        <w:t>th</w:t>
      </w:r>
      <w:r w:rsidRPr="00C23C10">
        <w:rPr>
          <w:b/>
          <w:i/>
          <w:color w:val="000080"/>
          <w:sz w:val="28"/>
          <w:szCs w:val="28"/>
        </w:rPr>
        <w:t xml:space="preserve"> grade students from six schools, each in a different state, located in five different regions of the US.</w:t>
      </w:r>
      <w:r w:rsidRPr="00C23C10">
        <w:rPr>
          <w:b/>
          <w:i/>
          <w:color w:val="000080"/>
          <w:sz w:val="28"/>
          <w:szCs w:val="28"/>
        </w:rPr>
        <w:tab/>
      </w:r>
    </w:p>
    <w:p w14:paraId="54D6C8FA" w14:textId="77777777" w:rsidR="00A0754C" w:rsidRPr="00C23C10" w:rsidRDefault="00A0754C" w:rsidP="00A0754C">
      <w:pPr>
        <w:autoSpaceDE w:val="0"/>
        <w:autoSpaceDN w:val="0"/>
        <w:adjustRightInd w:val="0"/>
      </w:pPr>
    </w:p>
    <w:p w14:paraId="4EE9125C" w14:textId="77777777" w:rsidR="00A0754C" w:rsidRPr="000E434A" w:rsidRDefault="00A0754C" w:rsidP="00A0754C">
      <w:pPr>
        <w:jc w:val="both"/>
        <w:rPr>
          <w:color w:val="000000"/>
        </w:rPr>
      </w:pPr>
      <w:r w:rsidRPr="00C23C10">
        <w:rPr>
          <w:color w:val="000000"/>
        </w:rPr>
        <w:t>The study sample was diverse and was comprised of 283 below-grade-level 7</w:t>
      </w:r>
      <w:r w:rsidRPr="00C23C10">
        <w:rPr>
          <w:color w:val="000000"/>
          <w:vertAlign w:val="superscript"/>
        </w:rPr>
        <w:t>th</w:t>
      </w:r>
      <w:r w:rsidRPr="00C23C10">
        <w:rPr>
          <w:color w:val="000000"/>
        </w:rPr>
        <w:t xml:space="preserve"> grade students </w:t>
      </w:r>
      <w:r w:rsidRPr="00C23C10">
        <w:t>from six schools, each from a different state (i.e., AZ, CA, CO, MI, NJ, and NY).  As may be expected, the final study sample was largely eligible to receive free or reduced-priced lunch</w:t>
      </w:r>
      <w:r>
        <w:t>, had a significant portion not-</w:t>
      </w:r>
      <w:r w:rsidRPr="00C23C10">
        <w:t>English proficient, and special education students.  The sample wa</w:t>
      </w:r>
      <w:r>
        <w:t>s also mostly Hispanic (i.e., 58</w:t>
      </w:r>
      <w:r w:rsidRPr="00C23C10">
        <w:t xml:space="preserve">%), and to a lesser extent Caucasian and African American.  </w:t>
      </w:r>
      <w:r w:rsidRPr="000E434A">
        <w:rPr>
          <w:color w:val="000000"/>
        </w:rPr>
        <w:t xml:space="preserve">Both the comparison and iLit groups achieved </w:t>
      </w:r>
      <w:r>
        <w:rPr>
          <w:color w:val="000000"/>
        </w:rPr>
        <w:t xml:space="preserve">similarly and </w:t>
      </w:r>
      <w:r w:rsidRPr="000E434A">
        <w:rPr>
          <w:color w:val="000000"/>
        </w:rPr>
        <w:t>well below average at baseline (CP PR=24</w:t>
      </w:r>
      <w:r w:rsidRPr="000E434A">
        <w:rPr>
          <w:color w:val="000000"/>
          <w:vertAlign w:val="superscript"/>
        </w:rPr>
        <w:t>th</w:t>
      </w:r>
      <w:r w:rsidRPr="000E434A">
        <w:rPr>
          <w:color w:val="000000"/>
        </w:rPr>
        <w:t>, iLit PR=26</w:t>
      </w:r>
      <w:r w:rsidRPr="000E434A">
        <w:rPr>
          <w:color w:val="000000"/>
          <w:vertAlign w:val="superscript"/>
        </w:rPr>
        <w:t>th</w:t>
      </w:r>
      <w:r w:rsidRPr="000E434A">
        <w:rPr>
          <w:color w:val="000000"/>
        </w:rPr>
        <w:t xml:space="preserve">).  </w:t>
      </w:r>
    </w:p>
    <w:p w14:paraId="501FD3D9" w14:textId="77777777" w:rsidR="00A0754C" w:rsidRPr="000E434A" w:rsidRDefault="00A0754C" w:rsidP="00A0754C">
      <w:pPr>
        <w:tabs>
          <w:tab w:val="left" w:pos="6160"/>
        </w:tabs>
        <w:jc w:val="both"/>
      </w:pPr>
    </w:p>
    <w:p w14:paraId="700F079E" w14:textId="77777777" w:rsidR="00A0754C" w:rsidRPr="008025A7" w:rsidRDefault="00A0754C" w:rsidP="00A0754C">
      <w:pPr>
        <w:jc w:val="both"/>
        <w:rPr>
          <w:b/>
          <w:i/>
          <w:color w:val="000080"/>
          <w:sz w:val="28"/>
          <w:szCs w:val="28"/>
        </w:rPr>
      </w:pPr>
      <w:r w:rsidRPr="008025A7">
        <w:rPr>
          <w:b/>
          <w:i/>
          <w:color w:val="000080"/>
          <w:sz w:val="28"/>
          <w:szCs w:val="28"/>
        </w:rPr>
        <w:t>iLit students saw relatively large achievement gains from their first school year using the program and repeated these gains in the second school year.</w:t>
      </w:r>
    </w:p>
    <w:p w14:paraId="0BA425CC" w14:textId="77777777" w:rsidR="00A0754C" w:rsidRPr="008025A7" w:rsidRDefault="00A0754C" w:rsidP="00A0754C">
      <w:pPr>
        <w:jc w:val="both"/>
      </w:pPr>
    </w:p>
    <w:p w14:paraId="334ABE14" w14:textId="77777777" w:rsidR="00A0754C" w:rsidRPr="008025A7" w:rsidRDefault="00A0754C" w:rsidP="00A0754C">
      <w:pPr>
        <w:jc w:val="both"/>
      </w:pPr>
      <w:r w:rsidRPr="00E54DF8">
        <w:t xml:space="preserve">The achievement data indicates clearly that at-risk middle grade students using iLit as their primary </w:t>
      </w:r>
      <w:r w:rsidRPr="008025A7">
        <w:t>literacy program can be successful.  The achievement gains on the GRADE and its subtests for the iLit students were relatively large and very consistent across consecutive school years.</w:t>
      </w:r>
    </w:p>
    <w:p w14:paraId="556ADD3B" w14:textId="77777777" w:rsidR="00A0754C" w:rsidRDefault="00A0754C" w:rsidP="00A0754C">
      <w:pPr>
        <w:jc w:val="both"/>
        <w:rPr>
          <w:color w:val="000000"/>
        </w:rPr>
      </w:pPr>
    </w:p>
    <w:p w14:paraId="7FB603B6" w14:textId="77777777" w:rsidR="00A0754C" w:rsidRPr="008025A7" w:rsidRDefault="00A0754C" w:rsidP="00A0754C">
      <w:pPr>
        <w:jc w:val="both"/>
        <w:rPr>
          <w:color w:val="000000"/>
        </w:rPr>
      </w:pPr>
      <w:r w:rsidRPr="008025A7">
        <w:rPr>
          <w:color w:val="000000"/>
        </w:rPr>
        <w:t>Performance was statistically similar between study groups on the GRADE and most of its sub-tests in the initial implementation year.</w:t>
      </w:r>
      <w:r>
        <w:rPr>
          <w:color w:val="000000"/>
        </w:rPr>
        <w:t xml:space="preserve">  </w:t>
      </w:r>
      <w:r w:rsidRPr="008025A7">
        <w:rPr>
          <w:color w:val="000000"/>
        </w:rPr>
        <w:t>The exception was</w:t>
      </w:r>
      <w:r w:rsidRPr="008025A7">
        <w:t xml:space="preserve"> Listening Comprehension, where the </w:t>
      </w:r>
      <w:r>
        <w:t>i</w:t>
      </w:r>
      <w:r w:rsidRPr="008025A7">
        <w:t>Lit students outperformed the comparison group.</w:t>
      </w:r>
      <w:r>
        <w:t xml:space="preserve"> </w:t>
      </w:r>
      <w:r>
        <w:rPr>
          <w:color w:val="000000"/>
        </w:rPr>
        <w:t xml:space="preserve"> This is significant as the iLit teachers were introduced to, and began using any part of the program at the start of the 2013-14 school year.  In addition, iLit’s fully digital delivery was new to both teachers and students.</w:t>
      </w:r>
      <w:r w:rsidRPr="008025A7">
        <w:rPr>
          <w:color w:val="000000"/>
        </w:rPr>
        <w:t xml:space="preserve"> </w:t>
      </w:r>
      <w:r>
        <w:rPr>
          <w:color w:val="000000"/>
        </w:rPr>
        <w:t xml:space="preserve"> </w:t>
      </w:r>
      <w:r>
        <w:t>In the second school year the iLit students went on to significantly outperformed their randomized comparison counterparts in comprehension and total literacy achievement.</w:t>
      </w:r>
      <w:r w:rsidRPr="008025A7">
        <w:t xml:space="preserve"> </w:t>
      </w:r>
    </w:p>
    <w:p w14:paraId="04B950CF" w14:textId="77777777" w:rsidR="00A0754C" w:rsidRPr="008025A7" w:rsidRDefault="00A0754C" w:rsidP="00A0754C">
      <w:pPr>
        <w:tabs>
          <w:tab w:val="left" w:pos="6160"/>
        </w:tabs>
        <w:jc w:val="both"/>
      </w:pPr>
    </w:p>
    <w:p w14:paraId="545DDA0F" w14:textId="77777777" w:rsidR="00A0754C" w:rsidRDefault="00A0754C" w:rsidP="00A0754C">
      <w:pPr>
        <w:jc w:val="both"/>
        <w:rPr>
          <w:b/>
          <w:i/>
          <w:color w:val="000080"/>
          <w:sz w:val="28"/>
          <w:szCs w:val="28"/>
        </w:rPr>
      </w:pPr>
      <w:r>
        <w:rPr>
          <w:b/>
          <w:i/>
          <w:color w:val="000080"/>
          <w:sz w:val="28"/>
          <w:szCs w:val="28"/>
        </w:rPr>
        <w:t>The achievement data indicates at-risk middle grade students using iLit can be successful in increasing Literacy achievement.</w:t>
      </w:r>
    </w:p>
    <w:p w14:paraId="41D929DD" w14:textId="5776964B" w:rsidR="00A0754C" w:rsidRDefault="00A0754C" w:rsidP="003D7BFE">
      <w:pPr>
        <w:rPr>
          <w:color w:val="000000"/>
        </w:rPr>
      </w:pPr>
    </w:p>
    <w:p w14:paraId="4B521A71" w14:textId="57A63B95" w:rsidR="003D244A" w:rsidRPr="00654FCF" w:rsidRDefault="003D244A" w:rsidP="003D7BFE">
      <w:pPr>
        <w:jc w:val="both"/>
        <w:rPr>
          <w:color w:val="000000"/>
        </w:rPr>
      </w:pPr>
      <w:r w:rsidRPr="00063AC7">
        <w:rPr>
          <w:color w:val="000000"/>
        </w:rPr>
        <w:t xml:space="preserve">Teachers and students alike had positive experiences with the iLit program beginning with their </w:t>
      </w:r>
      <w:r w:rsidRPr="00F963F2">
        <w:rPr>
          <w:color w:val="000000"/>
        </w:rPr>
        <w:t xml:space="preserve">first year exposed to the program.  Teachers felt the program was easy to implement in the classroom and that the program fit with their instructional philosophy.  The technology of the </w:t>
      </w:r>
      <w:r w:rsidR="00CA3571" w:rsidRPr="00F963F2">
        <w:t>fully digital</w:t>
      </w:r>
      <w:r w:rsidRPr="00F963F2">
        <w:rPr>
          <w:color w:val="000000"/>
        </w:rPr>
        <w:t xml:space="preserve"> delivery, however, created issues throughout the </w:t>
      </w:r>
      <w:r w:rsidR="00475756" w:rsidRPr="00F963F2">
        <w:rPr>
          <w:color w:val="000000"/>
        </w:rPr>
        <w:t xml:space="preserve">initial </w:t>
      </w:r>
      <w:r w:rsidRPr="00F963F2">
        <w:rPr>
          <w:color w:val="000000"/>
        </w:rPr>
        <w:t>school yea</w:t>
      </w:r>
      <w:r w:rsidR="00475756" w:rsidRPr="00F963F2">
        <w:rPr>
          <w:color w:val="000000"/>
        </w:rPr>
        <w:t>r</w:t>
      </w:r>
      <w:r w:rsidRPr="00F963F2">
        <w:rPr>
          <w:color w:val="000000"/>
        </w:rPr>
        <w:t>.  Most of the time these issues could be attributed to a site’s local infrastructure, however, teachers did experience</w:t>
      </w:r>
      <w:r w:rsidRPr="00654FCF">
        <w:rPr>
          <w:color w:val="000000"/>
        </w:rPr>
        <w:t xml:space="preserve"> occasional glitches. </w:t>
      </w:r>
    </w:p>
    <w:p w14:paraId="74CD6F5A" w14:textId="77777777" w:rsidR="003D244A" w:rsidRPr="004D65AE" w:rsidRDefault="003D244A" w:rsidP="003D7BFE">
      <w:pPr>
        <w:jc w:val="both"/>
      </w:pPr>
    </w:p>
    <w:p w14:paraId="0835D7EB" w14:textId="77777777" w:rsidR="00C21AF9" w:rsidRDefault="003D244A" w:rsidP="003D7BFE">
      <w:pPr>
        <w:jc w:val="both"/>
      </w:pPr>
      <w:r w:rsidRPr="004D65AE">
        <w:t xml:space="preserve">A majority of </w:t>
      </w:r>
      <w:r w:rsidR="004D65AE" w:rsidRPr="004D65AE">
        <w:t xml:space="preserve">iLit </w:t>
      </w:r>
      <w:r w:rsidRPr="004D65AE">
        <w:t>students demonstrated an overall positive attitude towards the program</w:t>
      </w:r>
      <w:r w:rsidR="004D65AE" w:rsidRPr="004D65AE">
        <w:t xml:space="preserve"> in the initial school year, and half had positive attitudes by the second school year.  </w:t>
      </w:r>
      <w:r w:rsidRPr="004D65AE">
        <w:t>iLit students</w:t>
      </w:r>
      <w:r w:rsidR="004D65AE" w:rsidRPr="004D65AE">
        <w:t xml:space="preserve"> also</w:t>
      </w:r>
      <w:r w:rsidRPr="004D65AE">
        <w:t xml:space="preserve"> demonstr</w:t>
      </w:r>
      <w:r w:rsidR="00FB5B4A" w:rsidRPr="004D65AE">
        <w:t xml:space="preserve">ated statistically similar </w:t>
      </w:r>
      <w:r w:rsidR="00FB5B4A" w:rsidRPr="004D65AE">
        <w:rPr>
          <w:color w:val="000000"/>
        </w:rPr>
        <w:t>literacy academic attitudes</w:t>
      </w:r>
      <w:r w:rsidRPr="004D65AE">
        <w:t xml:space="preserve"> </w:t>
      </w:r>
      <w:r w:rsidR="00FB5B4A" w:rsidRPr="004D65AE">
        <w:t xml:space="preserve">to </w:t>
      </w:r>
      <w:r w:rsidRPr="004D65AE">
        <w:t xml:space="preserve">their comparison group peers </w:t>
      </w:r>
      <w:r w:rsidR="00FB5B4A" w:rsidRPr="004D65AE">
        <w:t>across both school years</w:t>
      </w:r>
      <w:r w:rsidRPr="004D65AE">
        <w:rPr>
          <w:color w:val="000000"/>
        </w:rPr>
        <w:t>.</w:t>
      </w:r>
      <w:r w:rsidR="00C21AF9">
        <w:t xml:space="preserve">  </w:t>
      </w:r>
    </w:p>
    <w:p w14:paraId="14A90E8B" w14:textId="77777777" w:rsidR="00C21AF9" w:rsidRDefault="00C21AF9" w:rsidP="003D7BFE">
      <w:pPr>
        <w:jc w:val="both"/>
      </w:pPr>
    </w:p>
    <w:p w14:paraId="349F9881" w14:textId="77777777" w:rsidR="003D244A" w:rsidRPr="00C21AF9" w:rsidRDefault="003D244A" w:rsidP="003D7BFE">
      <w:pPr>
        <w:jc w:val="both"/>
      </w:pPr>
      <w:r w:rsidRPr="00C21AF9">
        <w:rPr>
          <w:color w:val="000000"/>
        </w:rPr>
        <w:t xml:space="preserve">Teachers felt their students were engaged by the program through the </w:t>
      </w:r>
      <w:r w:rsidR="0088715A" w:rsidRPr="00C21AF9">
        <w:rPr>
          <w:color w:val="000000"/>
        </w:rPr>
        <w:t>tablet</w:t>
      </w:r>
      <w:r w:rsidRPr="00C21AF9">
        <w:rPr>
          <w:color w:val="000000"/>
        </w:rPr>
        <w:t xml:space="preserve"> use, interactivity, lesson presentations, and plethora of independent reading stories. It was, however, apparent that these teachers also felt the motivation of their classrooms fell off as the </w:t>
      </w:r>
      <w:r w:rsidR="00C21AF9">
        <w:rPr>
          <w:color w:val="000000"/>
        </w:rPr>
        <w:t xml:space="preserve">initial </w:t>
      </w:r>
      <w:r w:rsidRPr="00C21AF9">
        <w:rPr>
          <w:color w:val="000000"/>
        </w:rPr>
        <w:t xml:space="preserve">school year </w:t>
      </w:r>
      <w:r w:rsidRPr="00C21AF9">
        <w:rPr>
          <w:color w:val="000000"/>
        </w:rPr>
        <w:lastRenderedPageBreak/>
        <w:t xml:space="preserve">progressed.  </w:t>
      </w:r>
      <w:r w:rsidRPr="00707167">
        <w:rPr>
          <w:color w:val="000000"/>
        </w:rPr>
        <w:t>This was attributed to a combination the relatively long 90 minute blocks and the routine nature of the program.  Th</w:t>
      </w:r>
      <w:r w:rsidR="00707167" w:rsidRPr="00707167">
        <w:rPr>
          <w:color w:val="000000"/>
        </w:rPr>
        <w:t>is dip in classroom motivation was</w:t>
      </w:r>
      <w:r w:rsidRPr="00707167">
        <w:rPr>
          <w:color w:val="000000"/>
        </w:rPr>
        <w:t xml:space="preserve"> </w:t>
      </w:r>
      <w:r w:rsidR="0088715A" w:rsidRPr="00707167">
        <w:rPr>
          <w:color w:val="000000"/>
        </w:rPr>
        <w:t>alleviated</w:t>
      </w:r>
      <w:r w:rsidRPr="00707167">
        <w:rPr>
          <w:color w:val="000000"/>
        </w:rPr>
        <w:t xml:space="preserve"> </w:t>
      </w:r>
      <w:r w:rsidR="00707167" w:rsidRPr="00707167">
        <w:rPr>
          <w:color w:val="000000"/>
        </w:rPr>
        <w:t xml:space="preserve">in the second school year </w:t>
      </w:r>
      <w:r w:rsidRPr="00707167">
        <w:rPr>
          <w:color w:val="000000"/>
        </w:rPr>
        <w:t>by allowing teachers to occasionally change up</w:t>
      </w:r>
      <w:r w:rsidR="00707167" w:rsidRPr="00707167">
        <w:rPr>
          <w:color w:val="000000"/>
        </w:rPr>
        <w:t xml:space="preserve"> the order of the component, supplement</w:t>
      </w:r>
      <w:r w:rsidRPr="00707167">
        <w:rPr>
          <w:color w:val="000000"/>
        </w:rPr>
        <w:t xml:space="preserve"> the program (ex., incorporate fun seasonal or topical activities)</w:t>
      </w:r>
      <w:r w:rsidR="00707167" w:rsidRPr="00707167">
        <w:rPr>
          <w:color w:val="000000"/>
        </w:rPr>
        <w:t>, and reducing the daily minutes on the program</w:t>
      </w:r>
      <w:r w:rsidRPr="00707167">
        <w:rPr>
          <w:color w:val="000000"/>
        </w:rPr>
        <w:t xml:space="preserve">.   </w:t>
      </w:r>
    </w:p>
    <w:p w14:paraId="69AA5491" w14:textId="77777777" w:rsidR="003D244A" w:rsidRPr="00C23C10" w:rsidRDefault="003D244A" w:rsidP="003D7BFE">
      <w:pPr>
        <w:autoSpaceDE w:val="0"/>
        <w:autoSpaceDN w:val="0"/>
        <w:adjustRightInd w:val="0"/>
        <w:rPr>
          <w:color w:val="000000"/>
        </w:rPr>
      </w:pPr>
    </w:p>
    <w:p w14:paraId="18D5C323" w14:textId="77777777" w:rsidR="00A0754C" w:rsidRPr="00893041" w:rsidRDefault="00A0754C" w:rsidP="00A0754C">
      <w:pPr>
        <w:jc w:val="both"/>
        <w:rPr>
          <w:b/>
          <w:i/>
          <w:color w:val="000080"/>
          <w:sz w:val="28"/>
          <w:szCs w:val="28"/>
        </w:rPr>
      </w:pPr>
      <w:r w:rsidRPr="00893041">
        <w:rPr>
          <w:b/>
          <w:i/>
          <w:color w:val="000080"/>
          <w:sz w:val="28"/>
          <w:szCs w:val="28"/>
        </w:rPr>
        <w:t xml:space="preserve">The focus group responses to iLit were overall very positive in 2013-14, with 81% of responses coded as positive in nature. Responses remained positive in the second school year with 69% positive comments overall.  </w:t>
      </w:r>
    </w:p>
    <w:p w14:paraId="0D9728D6" w14:textId="77777777" w:rsidR="002C0044" w:rsidRDefault="002C0044">
      <w:r>
        <w:br w:type="page"/>
      </w:r>
    </w:p>
    <w:p w14:paraId="7B065036" w14:textId="77777777" w:rsidR="003D244A" w:rsidRPr="003D7BFE" w:rsidRDefault="003D244A" w:rsidP="003D7BFE">
      <w:pPr>
        <w:rPr>
          <w:b/>
          <w:color w:val="FFFF99"/>
          <w:sz w:val="8"/>
          <w:szCs w:val="8"/>
          <w:highlight w:val="darkBlue"/>
        </w:rPr>
      </w:pPr>
      <w:r w:rsidRPr="003D7BFE">
        <w:rPr>
          <w:b/>
          <w:color w:val="FFFF99"/>
          <w:sz w:val="8"/>
          <w:szCs w:val="8"/>
          <w:highlight w:val="darkBlue"/>
        </w:rPr>
        <w:lastRenderedPageBreak/>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3C4029D8" w14:textId="77777777" w:rsidR="003D244A" w:rsidRDefault="003D244A" w:rsidP="003D7BFE">
      <w:pPr>
        <w:rPr>
          <w:color w:val="000080"/>
          <w:sz w:val="28"/>
          <w:szCs w:val="28"/>
        </w:rPr>
      </w:pPr>
      <w:r>
        <w:rPr>
          <w:b/>
          <w:color w:val="000080"/>
          <w:sz w:val="28"/>
          <w:szCs w:val="28"/>
        </w:rPr>
        <w:t xml:space="preserve">  A.1 iLit Study Site Descriptions  </w:t>
      </w:r>
    </w:p>
    <w:p w14:paraId="0492119F" w14:textId="77777777" w:rsidR="003D244A" w:rsidRPr="003D7BFE" w:rsidRDefault="003D244A" w:rsidP="003D7BFE">
      <w:pPr>
        <w:jc w:val="center"/>
        <w:rPr>
          <w:b/>
          <w:color w:val="FFFF99"/>
          <w:sz w:val="8"/>
          <w:szCs w:val="8"/>
          <w:highlight w:val="darkBlue"/>
        </w:rPr>
      </w:pP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r w:rsidRPr="003D7BFE">
        <w:rPr>
          <w:b/>
          <w:color w:val="FFFF99"/>
          <w:sz w:val="8"/>
          <w:szCs w:val="8"/>
          <w:highlight w:val="darkBlue"/>
        </w:rPr>
        <w:tab/>
      </w:r>
    </w:p>
    <w:p w14:paraId="72BAC58B" w14:textId="77777777" w:rsidR="00C12053" w:rsidRDefault="00C12053" w:rsidP="0073798E">
      <w:pPr>
        <w:jc w:val="both"/>
        <w:rPr>
          <w:rFonts w:cs="Arial"/>
          <w:color w:val="000000"/>
          <w:szCs w:val="20"/>
        </w:rPr>
      </w:pPr>
    </w:p>
    <w:p w14:paraId="02395BF6" w14:textId="77777777" w:rsidR="0073798E" w:rsidRPr="00C12053" w:rsidRDefault="0073798E" w:rsidP="0073798E">
      <w:pPr>
        <w:jc w:val="both"/>
      </w:pPr>
      <w:r w:rsidRPr="00C12053">
        <w:t>This appendix summarizes the educational environment for each study site as well as a demographic breakdown.  This information is crucial for determining how applicable results from this study may be to the consumers of this report.  It is important to note that this study is a two year study. In the first school year, 2013-14, 7</w:t>
      </w:r>
      <w:r w:rsidRPr="00C12053">
        <w:rPr>
          <w:vertAlign w:val="superscript"/>
        </w:rPr>
        <w:t>th</w:t>
      </w:r>
      <w:r w:rsidRPr="00C12053">
        <w:t xml:space="preserve"> grade participated.  In the 2014-15 school year these student will be followed into 8</w:t>
      </w:r>
      <w:r w:rsidRPr="00C12053">
        <w:rPr>
          <w:vertAlign w:val="superscript"/>
        </w:rPr>
        <w:t>th</w:t>
      </w:r>
      <w:r w:rsidRPr="00C12053">
        <w:t xml:space="preserve"> grade. </w:t>
      </w:r>
    </w:p>
    <w:p w14:paraId="6D89A696" w14:textId="77777777" w:rsidR="0073798E" w:rsidRPr="00C12053" w:rsidRDefault="0073798E" w:rsidP="0073798E">
      <w:pPr>
        <w:jc w:val="both"/>
        <w:rPr>
          <w:rFonts w:cs="Arial"/>
          <w:color w:val="000000"/>
          <w:szCs w:val="20"/>
        </w:rPr>
      </w:pPr>
    </w:p>
    <w:p w14:paraId="54C8A781" w14:textId="77777777" w:rsidR="0073798E" w:rsidRPr="00C12053" w:rsidRDefault="0073798E" w:rsidP="0073798E">
      <w:pPr>
        <w:jc w:val="both"/>
      </w:pPr>
      <w:r w:rsidRPr="00C12053">
        <w:rPr>
          <w:b/>
          <w:i/>
          <w:color w:val="000080"/>
          <w:sz w:val="28"/>
          <w:szCs w:val="28"/>
        </w:rPr>
        <w:t xml:space="preserve">Arizona District </w:t>
      </w:r>
    </w:p>
    <w:p w14:paraId="30CED6B5" w14:textId="77777777" w:rsidR="0073798E" w:rsidRPr="00C12053" w:rsidRDefault="0073798E" w:rsidP="0073798E">
      <w:pPr>
        <w:jc w:val="both"/>
      </w:pPr>
      <w:r w:rsidRPr="00C12053">
        <w:rPr>
          <w:color w:val="000000"/>
        </w:rPr>
        <w:t>This school resides in a large city and students are expected to follow a strict dress code.  This school prides itself in creating a positive school climate, college-going culture and strong classroom instruction in order to prepare students for future success both in and out of school.  In the 2010-11 school year, the district served a community of over 49,000.  The median household</w:t>
      </w:r>
      <w:r w:rsidRPr="00C12053">
        <w:t xml:space="preserve"> income is approximately $27,000, indicating a lower-class community. </w:t>
      </w:r>
    </w:p>
    <w:p w14:paraId="0A0FA53D" w14:textId="77777777" w:rsidR="0073798E" w:rsidRPr="00C12053" w:rsidRDefault="0073798E" w:rsidP="0073798E">
      <w:pPr>
        <w:jc w:val="both"/>
      </w:pPr>
    </w:p>
    <w:p w14:paraId="1542D394" w14:textId="77777777" w:rsidR="0073798E" w:rsidRPr="00C12053" w:rsidRDefault="0073798E" w:rsidP="0073798E">
      <w:pPr>
        <w:jc w:val="both"/>
      </w:pPr>
      <w:r w:rsidRPr="00C12053">
        <w:t>This is a medium-large sized school serving approximately 800 students in grades six through eight.  The 7</w:t>
      </w:r>
      <w:r w:rsidRPr="00C12053">
        <w:rPr>
          <w:vertAlign w:val="superscript"/>
        </w:rPr>
        <w:t>th</w:t>
      </w:r>
      <w:r w:rsidRPr="00C12053">
        <w:t xml:space="preserve"> grade level is made up of just over 280 students.  This school is primarily Hispanic, which represents 95% of the school’s population.  Caucasians and African Americans each comprise 2% of the school’s population, with American Indian/Alaskan Natives making up the remaining 1%.  This school falls into the high range for participation in the nation’s lunch program with 100% of students eligible to receive free or reduced-price lunch.  </w:t>
      </w:r>
    </w:p>
    <w:p w14:paraId="3FBB9401" w14:textId="77777777" w:rsidR="0073798E" w:rsidRPr="00C12053" w:rsidRDefault="0073798E" w:rsidP="0073798E">
      <w:pPr>
        <w:jc w:val="both"/>
      </w:pPr>
    </w:p>
    <w:p w14:paraId="1A29CFE5" w14:textId="77777777" w:rsidR="0073798E" w:rsidRPr="00C12053" w:rsidRDefault="0073798E" w:rsidP="0073798E">
      <w:pPr>
        <w:jc w:val="both"/>
        <w:rPr>
          <w:color w:val="000000"/>
        </w:rPr>
      </w:pPr>
      <w:r w:rsidRPr="00C12053">
        <w:rPr>
          <w:color w:val="000000"/>
        </w:rPr>
        <w:t>The percentage of 7</w:t>
      </w:r>
      <w:r w:rsidRPr="00C12053">
        <w:rPr>
          <w:color w:val="000000"/>
          <w:vertAlign w:val="superscript"/>
        </w:rPr>
        <w:t>th</w:t>
      </w:r>
      <w:r w:rsidRPr="00C12053">
        <w:rPr>
          <w:color w:val="000000"/>
        </w:rPr>
        <w:t xml:space="preserve"> grade students testing at standard in mathematics in the 2012-13 school year was 49%, 16% lower than the statewide results whereas in reading, 71% tested at standard, only 14% lower than the statewide average.  In 8</w:t>
      </w:r>
      <w:r w:rsidRPr="00C12053">
        <w:rPr>
          <w:color w:val="000000"/>
          <w:vertAlign w:val="superscript"/>
        </w:rPr>
        <w:t>th</w:t>
      </w:r>
      <w:r w:rsidRPr="00C12053">
        <w:rPr>
          <w:color w:val="000000"/>
        </w:rPr>
        <w:t xml:space="preserve"> grade, 43% and 52% of students tested at standard for mathematics and reading respectively, compared to statewide results of 58% for math and 72% for reading. The student/teacher ratio is approximately 17 to 1.</w:t>
      </w:r>
    </w:p>
    <w:p w14:paraId="51193C63" w14:textId="77777777" w:rsidR="0073798E" w:rsidRPr="00C12053" w:rsidRDefault="0073798E" w:rsidP="0073798E">
      <w:pPr>
        <w:jc w:val="both"/>
        <w:rPr>
          <w:color w:val="FF0000"/>
        </w:rPr>
      </w:pPr>
    </w:p>
    <w:p w14:paraId="502E84A5" w14:textId="77777777" w:rsidR="0073798E" w:rsidRPr="00C12053" w:rsidRDefault="0073798E" w:rsidP="0073798E">
      <w:pPr>
        <w:jc w:val="both"/>
        <w:rPr>
          <w:color w:val="000000"/>
        </w:rPr>
      </w:pPr>
      <w:r w:rsidRPr="00C12053">
        <w:rPr>
          <w:color w:val="000000"/>
        </w:rPr>
        <w:t>In year one, three 7</w:t>
      </w:r>
      <w:r w:rsidRPr="00C12053">
        <w:rPr>
          <w:color w:val="000000"/>
          <w:vertAlign w:val="superscript"/>
        </w:rPr>
        <w:t>th</w:t>
      </w:r>
      <w:r w:rsidRPr="00C12053">
        <w:rPr>
          <w:color w:val="000000"/>
        </w:rPr>
        <w:t xml:space="preserve"> grade teachers agreed to be in the study, with two choosing to participate as iLit teachers. The comparison teacher instructed two sections of 7</w:t>
      </w:r>
      <w:r w:rsidRPr="00C12053">
        <w:rPr>
          <w:color w:val="000000"/>
          <w:vertAlign w:val="superscript"/>
        </w:rPr>
        <w:t>th</w:t>
      </w:r>
      <w:r w:rsidRPr="00C12053">
        <w:rPr>
          <w:color w:val="000000"/>
        </w:rPr>
        <w:t xml:space="preserve"> grade comparison students, each being mixed with non-study students. Students received a total of 31 weeks of literacy instruction of which iLit students received 19 weeks of iLit. Daily literacy blocks averaged 144 minutes for iLit students, and 71 minutes for comparison students. The comparison teachers at this site utilized a novel based approach in their literacy classes. Additionally, they took advantage of the many resources available to teachers and developed teacher created learning materials. </w:t>
      </w:r>
    </w:p>
    <w:p w14:paraId="23A39040" w14:textId="77777777" w:rsidR="0073798E" w:rsidRPr="00C12053" w:rsidRDefault="0073798E" w:rsidP="0073798E">
      <w:pPr>
        <w:jc w:val="both"/>
        <w:rPr>
          <w:color w:val="000000"/>
        </w:rPr>
      </w:pPr>
    </w:p>
    <w:p w14:paraId="54E1A6B7" w14:textId="77777777" w:rsidR="0073798E" w:rsidRPr="00C12053" w:rsidRDefault="0073798E" w:rsidP="0073798E">
      <w:pPr>
        <w:jc w:val="both"/>
        <w:rPr>
          <w:color w:val="000000"/>
        </w:rPr>
      </w:pPr>
      <w:r w:rsidRPr="00C12053">
        <w:rPr>
          <w:color w:val="000000"/>
        </w:rPr>
        <w:t>The iLit teachers were trained on September 9</w:t>
      </w:r>
      <w:r w:rsidRPr="00C12053">
        <w:rPr>
          <w:color w:val="000000"/>
          <w:vertAlign w:val="superscript"/>
        </w:rPr>
        <w:t>th</w:t>
      </w:r>
      <w:r w:rsidRPr="00C12053">
        <w:rPr>
          <w:color w:val="000000"/>
        </w:rPr>
        <w:t>, approximately one month after school began. They received an additional training on October 21, 2013, which served as a refresher. In addition, the iLit teachers received a final training on December 20</w:t>
      </w:r>
      <w:r w:rsidRPr="00C12053">
        <w:rPr>
          <w:color w:val="000000"/>
          <w:vertAlign w:val="superscript"/>
        </w:rPr>
        <w:t>th</w:t>
      </w:r>
      <w:r w:rsidRPr="00C12053">
        <w:rPr>
          <w:color w:val="000000"/>
        </w:rPr>
        <w:t xml:space="preserve"> per their request for additional training. The baseline testing was administered during the first two weeks in September 2013, the middle of year testing during the last two weeks in January 2014 and the end of year testing during the last week of April 2014. </w:t>
      </w:r>
    </w:p>
    <w:p w14:paraId="6FC58E8C" w14:textId="77777777" w:rsidR="0073798E" w:rsidRPr="00C12053" w:rsidRDefault="0073798E" w:rsidP="0073798E">
      <w:pPr>
        <w:jc w:val="both"/>
        <w:rPr>
          <w:color w:val="000000"/>
        </w:rPr>
      </w:pPr>
    </w:p>
    <w:p w14:paraId="08FA896C" w14:textId="77777777" w:rsidR="0073798E" w:rsidRPr="00C12053" w:rsidRDefault="0073798E" w:rsidP="0073798E">
      <w:pPr>
        <w:jc w:val="both"/>
        <w:rPr>
          <w:color w:val="000000"/>
        </w:rPr>
      </w:pPr>
      <w:r w:rsidRPr="00C12053">
        <w:rPr>
          <w:color w:val="000000"/>
        </w:rPr>
        <w:t>In year two, three 8</w:t>
      </w:r>
      <w:r w:rsidRPr="00C12053">
        <w:rPr>
          <w:color w:val="000000"/>
          <w:vertAlign w:val="superscript"/>
        </w:rPr>
        <w:t>th</w:t>
      </w:r>
      <w:r w:rsidRPr="00C12053">
        <w:rPr>
          <w:color w:val="000000"/>
        </w:rPr>
        <w:t xml:space="preserve"> grade teachers agreed to be in the study, with one of the 1</w:t>
      </w:r>
      <w:r w:rsidRPr="00C12053">
        <w:rPr>
          <w:color w:val="000000"/>
          <w:vertAlign w:val="superscript"/>
        </w:rPr>
        <w:t>st</w:t>
      </w:r>
      <w:r w:rsidRPr="00C12053">
        <w:rPr>
          <w:color w:val="000000"/>
        </w:rPr>
        <w:t xml:space="preserve"> year iLit teachers returning and two new comparison teachers. With the reduction of one iLit instructor, the returning teacher instructed two iLit sections; however, at winter break these two sections were condensed into one group of iLit study students. The comparison students were mixed with non-study </w:t>
      </w:r>
      <w:r w:rsidRPr="00C12053">
        <w:rPr>
          <w:color w:val="000000"/>
        </w:rPr>
        <w:lastRenderedPageBreak/>
        <w:t xml:space="preserve">students. Daily literacy blocks were reduced to 60 minutes for iLit students, but remained the same for comparison classes, also at 60 minutes. In addition all study students received 30 minutes daily of ESL literacy or math intervention, depending on their needs. </w:t>
      </w:r>
    </w:p>
    <w:p w14:paraId="0E76B1C1" w14:textId="77777777" w:rsidR="0073798E" w:rsidRPr="00C12053" w:rsidRDefault="0073798E" w:rsidP="0073798E">
      <w:pPr>
        <w:jc w:val="both"/>
        <w:rPr>
          <w:color w:val="000000"/>
        </w:rPr>
      </w:pPr>
    </w:p>
    <w:p w14:paraId="7A8DF175" w14:textId="77777777" w:rsidR="0073798E" w:rsidRPr="00C12053" w:rsidRDefault="0073798E" w:rsidP="0073798E">
      <w:pPr>
        <w:jc w:val="both"/>
        <w:rPr>
          <w:color w:val="FF0000"/>
        </w:rPr>
      </w:pPr>
      <w:r w:rsidRPr="00C12053">
        <w:rPr>
          <w:color w:val="000000"/>
        </w:rPr>
        <w:t>Students received a total of 36 weeks of literacy instruction of which iLit students received 17 weeks of iLit instruction.  The iLit teacher received a WebEx training on September 19</w:t>
      </w:r>
      <w:r w:rsidRPr="00C12053">
        <w:rPr>
          <w:color w:val="000000"/>
          <w:vertAlign w:val="superscript"/>
        </w:rPr>
        <w:t>th</w:t>
      </w:r>
      <w:r w:rsidRPr="00C12053">
        <w:rPr>
          <w:color w:val="000000"/>
        </w:rPr>
        <w:t>, 2014.  There was additional training on March 9</w:t>
      </w:r>
      <w:r w:rsidRPr="00C12053">
        <w:rPr>
          <w:color w:val="000000"/>
          <w:vertAlign w:val="superscript"/>
        </w:rPr>
        <w:t>th</w:t>
      </w:r>
      <w:r w:rsidRPr="00C12053">
        <w:rPr>
          <w:color w:val="000000"/>
        </w:rPr>
        <w:t xml:space="preserve">, 2015.  Baseline testing was administered at the end of August 2014, middle of year testing took place during the third week of January 2015 and in the last week of April 2015 the end of year testing was completed. </w:t>
      </w:r>
    </w:p>
    <w:p w14:paraId="3275061F" w14:textId="77777777" w:rsidR="0073798E" w:rsidRPr="00C12053" w:rsidRDefault="0073798E" w:rsidP="0073798E">
      <w:pPr>
        <w:jc w:val="both"/>
        <w:rPr>
          <w:color w:val="000000"/>
        </w:rPr>
      </w:pPr>
    </w:p>
    <w:p w14:paraId="4E78AD66" w14:textId="77777777" w:rsidR="0073798E" w:rsidRPr="00C12053" w:rsidRDefault="0073798E" w:rsidP="0073798E">
      <w:pPr>
        <w:jc w:val="both"/>
      </w:pPr>
      <w:r w:rsidRPr="00C12053">
        <w:rPr>
          <w:b/>
          <w:i/>
          <w:color w:val="000080"/>
          <w:sz w:val="28"/>
          <w:szCs w:val="28"/>
        </w:rPr>
        <w:t xml:space="preserve">California District </w:t>
      </w:r>
    </w:p>
    <w:p w14:paraId="06A10F9B" w14:textId="77777777" w:rsidR="0073798E" w:rsidRPr="00C12053" w:rsidRDefault="0073798E" w:rsidP="0073798E">
      <w:pPr>
        <w:jc w:val="both"/>
      </w:pPr>
      <w:r w:rsidRPr="00C12053">
        <w:rPr>
          <w:color w:val="000000"/>
        </w:rPr>
        <w:t>This school resides in a rural area. Within its district, this campus comprises the most advanced technology focused school. Staff pride themselves on educating students via the many technological tools made available to staff and students such as, computers and tablets, interactive white boards and cutting edge multi-media software. In the 2010-11 school year, the district served a community of approximately 61,000.  The median household income is slightly</w:t>
      </w:r>
      <w:r w:rsidRPr="00C12053">
        <w:t xml:space="preserve"> above $105,000, indicating an upper middle-class community.  </w:t>
      </w:r>
    </w:p>
    <w:p w14:paraId="6BE04FD9" w14:textId="77777777" w:rsidR="0073798E" w:rsidRPr="00C12053" w:rsidRDefault="0073798E" w:rsidP="0073798E">
      <w:pPr>
        <w:jc w:val="both"/>
      </w:pPr>
    </w:p>
    <w:p w14:paraId="17642DEC" w14:textId="77777777" w:rsidR="0073798E" w:rsidRPr="00C12053" w:rsidRDefault="0073798E" w:rsidP="0073798E">
      <w:pPr>
        <w:jc w:val="both"/>
      </w:pPr>
      <w:r w:rsidRPr="00C12053">
        <w:t>This is a medium to large sized school serving just over 800 students in grades seven and eight. The 7</w:t>
      </w:r>
      <w:r w:rsidRPr="00C12053">
        <w:rPr>
          <w:vertAlign w:val="superscript"/>
        </w:rPr>
        <w:t>th</w:t>
      </w:r>
      <w:r w:rsidRPr="00C12053">
        <w:t xml:space="preserve"> grade is made up of approximately 450 students. Forty-five percent of the school’s population is made up of Hispanic students. Caucasian and African American students make up 24% and 13% of the student population respectively. The remainder of the population is comprised of 15% Asian/Pacific Islander and 3% multiple ethnicities. Fifty-two percent of the students at this school are eligible for free or reduced price lunch, which places this school into the mid-range for participation in the nation’s free or reduced-price lunch program. </w:t>
      </w:r>
    </w:p>
    <w:p w14:paraId="79427466" w14:textId="77777777" w:rsidR="0073798E" w:rsidRPr="00C12053" w:rsidRDefault="0073798E" w:rsidP="0073798E">
      <w:pPr>
        <w:jc w:val="both"/>
      </w:pPr>
    </w:p>
    <w:p w14:paraId="057859B4" w14:textId="77777777" w:rsidR="0073798E" w:rsidRPr="00C12053" w:rsidRDefault="0073798E" w:rsidP="0073798E">
      <w:pPr>
        <w:jc w:val="both"/>
      </w:pPr>
      <w:r w:rsidRPr="00C12053">
        <w:t>This school did not meet AYP in the 2012-13 school year.  The percentage of 7</w:t>
      </w:r>
      <w:r w:rsidRPr="00C12053">
        <w:rPr>
          <w:vertAlign w:val="superscript"/>
        </w:rPr>
        <w:t>th</w:t>
      </w:r>
      <w:r w:rsidRPr="00C12053">
        <w:t xml:space="preserve"> grade students testing at standard in mathematics in the 2012-13 school year was 7% higher than the statewide results of 52%.  In reading, the statewide average was 60% whereas 75% of students at this site tested at standard.  Eighth grade students testing at standard in mathematics was 3% lower than the statewide results of 31%.  For reading 63%, compared to 57% statewide, tested at standard. The student/teacher ratio is approximately 22 to 1.  </w:t>
      </w:r>
    </w:p>
    <w:p w14:paraId="7516108D" w14:textId="77777777" w:rsidR="0073798E" w:rsidRPr="00C12053" w:rsidRDefault="0073798E" w:rsidP="0073798E">
      <w:pPr>
        <w:jc w:val="both"/>
        <w:rPr>
          <w:color w:val="000000"/>
        </w:rPr>
      </w:pPr>
    </w:p>
    <w:p w14:paraId="6A85D9F8" w14:textId="77777777" w:rsidR="0073798E" w:rsidRPr="00C12053" w:rsidRDefault="0073798E" w:rsidP="0073798E">
      <w:pPr>
        <w:jc w:val="both"/>
        <w:rPr>
          <w:color w:val="000000"/>
        </w:rPr>
      </w:pPr>
      <w:r w:rsidRPr="00C12053">
        <w:rPr>
          <w:color w:val="000000"/>
        </w:rPr>
        <w:t>In year one, the site chose one iLit teacher and one comparison teacher to instruct the 7</w:t>
      </w:r>
      <w:r w:rsidRPr="00C12053">
        <w:rPr>
          <w:color w:val="000000"/>
          <w:vertAlign w:val="superscript"/>
        </w:rPr>
        <w:t>th</w:t>
      </w:r>
      <w:r w:rsidRPr="00C12053">
        <w:rPr>
          <w:color w:val="000000"/>
        </w:rPr>
        <w:t xml:space="preserve"> grade study classes. The treatment students were combined in one class together and received an average of 90 minutes of daily iLit instruction. Comparison students were grouped together and mainstreamed. They also received 90 minutes of daily instruction; however, it was broken down into 45 minutes of general literacy education and 45 minutes of largely non-digital literacy intervention instruction. For the comparison students, the district adopted a widely published elementary literacy curriculum.</w:t>
      </w:r>
    </w:p>
    <w:p w14:paraId="2C07FCE6" w14:textId="77777777" w:rsidR="0073798E" w:rsidRPr="00C12053" w:rsidRDefault="0073798E" w:rsidP="0073798E">
      <w:pPr>
        <w:jc w:val="both"/>
        <w:rPr>
          <w:color w:val="000000"/>
        </w:rPr>
      </w:pPr>
    </w:p>
    <w:p w14:paraId="497DDC6B" w14:textId="77777777" w:rsidR="0073798E" w:rsidRPr="00C12053" w:rsidRDefault="0073798E" w:rsidP="0073798E">
      <w:pPr>
        <w:jc w:val="both"/>
        <w:rPr>
          <w:color w:val="000000"/>
        </w:rPr>
      </w:pPr>
      <w:r w:rsidRPr="00C12053">
        <w:rPr>
          <w:color w:val="000000"/>
        </w:rPr>
        <w:t>In year one, students received a total of 30 weeks of literacy instruction of which iLit students received 23 weeks of iLit instruction.  The iLit teacher was trained September 24, 2013 just under two months after school began. A follow up training took place on October 29</w:t>
      </w:r>
      <w:r w:rsidRPr="00C12053">
        <w:rPr>
          <w:color w:val="000000"/>
          <w:vertAlign w:val="superscript"/>
        </w:rPr>
        <w:t>th</w:t>
      </w:r>
      <w:r w:rsidRPr="00C12053">
        <w:rPr>
          <w:color w:val="000000"/>
        </w:rPr>
        <w:t xml:space="preserve">. The school administered baseline, midyear and end of year testing at the end of August 2013, January 2014 and April 2014 respectively. </w:t>
      </w:r>
    </w:p>
    <w:p w14:paraId="7C7DDF0B" w14:textId="77777777" w:rsidR="0073798E" w:rsidRPr="00C12053" w:rsidRDefault="0073798E" w:rsidP="0073798E">
      <w:pPr>
        <w:jc w:val="both"/>
        <w:rPr>
          <w:color w:val="000000"/>
        </w:rPr>
      </w:pPr>
    </w:p>
    <w:p w14:paraId="03E2919A" w14:textId="77777777" w:rsidR="0073798E" w:rsidRPr="00C12053" w:rsidRDefault="0073798E" w:rsidP="0073798E">
      <w:pPr>
        <w:jc w:val="both"/>
        <w:rPr>
          <w:color w:val="000000"/>
        </w:rPr>
      </w:pPr>
      <w:r w:rsidRPr="00C12053">
        <w:rPr>
          <w:color w:val="000000"/>
        </w:rPr>
        <w:lastRenderedPageBreak/>
        <w:t>In year two, there were two 8</w:t>
      </w:r>
      <w:r w:rsidRPr="00C12053">
        <w:rPr>
          <w:color w:val="000000"/>
          <w:vertAlign w:val="superscript"/>
        </w:rPr>
        <w:t>th</w:t>
      </w:r>
      <w:r w:rsidRPr="00C12053">
        <w:rPr>
          <w:color w:val="000000"/>
        </w:rPr>
        <w:t xml:space="preserve"> grade teachers in the study, with the participating iLit teacher returning from year one and the assignment of a new comparison teacher. The iLit study students remained in a class unto themselves and received an average of 77 minutes of daily iLit instruction. Comparison students were mixed with non-study students and had an average daily block of 42 minutes allotted for literacy instruction. </w:t>
      </w:r>
    </w:p>
    <w:p w14:paraId="25F863F0" w14:textId="77777777" w:rsidR="0073798E" w:rsidRPr="00C12053" w:rsidRDefault="0073798E" w:rsidP="0073798E">
      <w:pPr>
        <w:jc w:val="both"/>
        <w:rPr>
          <w:color w:val="000000"/>
        </w:rPr>
      </w:pPr>
    </w:p>
    <w:p w14:paraId="451EC15C" w14:textId="77777777" w:rsidR="0073798E" w:rsidRPr="00C12053" w:rsidRDefault="0073798E" w:rsidP="0073798E">
      <w:pPr>
        <w:jc w:val="both"/>
        <w:rPr>
          <w:color w:val="000000"/>
        </w:rPr>
      </w:pPr>
      <w:r w:rsidRPr="00C12053">
        <w:rPr>
          <w:color w:val="000000"/>
        </w:rPr>
        <w:t>Students received a total of 37 weeks of literacy instruction of which iLit students received 28 weeks of iLit instruction.  The iLit teacher had training through an online webinar in September 2015.  Additional training was given on December 16</w:t>
      </w:r>
      <w:r w:rsidRPr="00C12053">
        <w:rPr>
          <w:color w:val="000000"/>
          <w:vertAlign w:val="superscript"/>
        </w:rPr>
        <w:t>th</w:t>
      </w:r>
      <w:r w:rsidRPr="00C12053">
        <w:rPr>
          <w:color w:val="000000"/>
        </w:rPr>
        <w:t xml:space="preserve">, 2014. The school administered baseline testing at the end of August 2014, midyear testing the last week of January 2015 and end of year testing during the last two weeks of May 2015.  </w:t>
      </w:r>
    </w:p>
    <w:p w14:paraId="5E6AF519" w14:textId="77777777" w:rsidR="0073798E" w:rsidRPr="00C12053" w:rsidRDefault="0073798E" w:rsidP="0073798E">
      <w:pPr>
        <w:jc w:val="both"/>
        <w:rPr>
          <w:color w:val="000000"/>
        </w:rPr>
      </w:pPr>
    </w:p>
    <w:p w14:paraId="4849B9B1" w14:textId="77777777" w:rsidR="0073798E" w:rsidRPr="00C12053" w:rsidRDefault="0073798E" w:rsidP="0073798E">
      <w:pPr>
        <w:jc w:val="both"/>
      </w:pPr>
      <w:r w:rsidRPr="00C12053">
        <w:rPr>
          <w:b/>
          <w:i/>
          <w:color w:val="000080"/>
          <w:sz w:val="28"/>
          <w:szCs w:val="28"/>
        </w:rPr>
        <w:t xml:space="preserve">Colorado District </w:t>
      </w:r>
    </w:p>
    <w:p w14:paraId="4F658D92" w14:textId="77777777" w:rsidR="0073798E" w:rsidRPr="00C12053" w:rsidRDefault="0073798E" w:rsidP="0073798E">
      <w:pPr>
        <w:jc w:val="both"/>
      </w:pPr>
      <w:r w:rsidRPr="00C12053">
        <w:rPr>
          <w:color w:val="000000"/>
        </w:rPr>
        <w:t>This school resides in a rural area and students are expected to follow a dress code.  This school prides itself in being technologically advanced. This school strives to use the technology resources available to them to help students realize their ultimate potential. In the 2010-11 school</w:t>
      </w:r>
      <w:r w:rsidRPr="00C12053">
        <w:t xml:space="preserve"> year, the district served a community of approximately 11,400.  The median household income is nearly $83,000, indicating a middle-class community.  </w:t>
      </w:r>
    </w:p>
    <w:p w14:paraId="05F504D1" w14:textId="77777777" w:rsidR="0073798E" w:rsidRPr="00C12053" w:rsidRDefault="0073798E" w:rsidP="0073798E">
      <w:pPr>
        <w:jc w:val="both"/>
      </w:pPr>
    </w:p>
    <w:p w14:paraId="23C6732F" w14:textId="77777777" w:rsidR="0073798E" w:rsidRPr="00C12053" w:rsidRDefault="0073798E" w:rsidP="0073798E">
      <w:pPr>
        <w:jc w:val="both"/>
      </w:pPr>
      <w:r w:rsidRPr="00C12053">
        <w:t>This is a small sized school serving approximately 430 students in grades kindergarten through eight.  The 7</w:t>
      </w:r>
      <w:r w:rsidRPr="00C12053">
        <w:rPr>
          <w:vertAlign w:val="superscript"/>
        </w:rPr>
        <w:t>th</w:t>
      </w:r>
      <w:r w:rsidRPr="00C12053">
        <w:t xml:space="preserve"> grade level is made up of slightly over 30 students.  This school is primarily Caucasian, which represents approximately 91% of the school population.  Hispanic students comprise 7% of the school’s population, with African American and Hawaiian Native/Pacific Islander making up the remaining 2%.  This school falls into the low range for participation in the nation’s free or reduced-price lunch program with only 11% of students eligible to receive free or reduced-price lunch.  </w:t>
      </w:r>
    </w:p>
    <w:p w14:paraId="0F3DA0D4" w14:textId="77777777" w:rsidR="0073798E" w:rsidRPr="00C12053" w:rsidRDefault="0073798E" w:rsidP="0073798E">
      <w:pPr>
        <w:jc w:val="both"/>
      </w:pPr>
    </w:p>
    <w:p w14:paraId="4A4F94D2" w14:textId="77777777" w:rsidR="0073798E" w:rsidRPr="00C12053" w:rsidRDefault="0073798E" w:rsidP="0073798E">
      <w:pPr>
        <w:jc w:val="both"/>
      </w:pPr>
      <w:r w:rsidRPr="00C12053">
        <w:t>This school met AYP in the 2010-11 school year.  In the 2012-13 school year 53% of 7</w:t>
      </w:r>
      <w:r w:rsidRPr="00C12053">
        <w:rPr>
          <w:vertAlign w:val="superscript"/>
        </w:rPr>
        <w:t>th</w:t>
      </w:r>
      <w:r w:rsidRPr="00C12053">
        <w:t xml:space="preserve"> grade students tested at standard as compared to the statewide average of 55%. In reading, on the other hand, students averaged 4% higher than the statewide results of 68%.    For 8</w:t>
      </w:r>
      <w:r w:rsidRPr="00C12053">
        <w:rPr>
          <w:vertAlign w:val="superscript"/>
        </w:rPr>
        <w:t>th</w:t>
      </w:r>
      <w:r w:rsidRPr="00C12053">
        <w:t xml:space="preserve"> grade, only 35% of students tested at standard in mathematics and 58% in reading, whereas statewide results averaged 52% for math and 67% for reading. The student/teacher ratio is approximately 14 to 1.  </w:t>
      </w:r>
    </w:p>
    <w:p w14:paraId="6A0D11C8" w14:textId="77777777" w:rsidR="0073798E" w:rsidRPr="00C12053" w:rsidRDefault="0073798E" w:rsidP="0073798E">
      <w:pPr>
        <w:jc w:val="both"/>
        <w:rPr>
          <w:color w:val="000000"/>
        </w:rPr>
      </w:pPr>
    </w:p>
    <w:p w14:paraId="1270092A" w14:textId="77777777" w:rsidR="0073798E" w:rsidRPr="00C12053" w:rsidRDefault="0073798E" w:rsidP="0073798E">
      <w:pPr>
        <w:jc w:val="both"/>
        <w:rPr>
          <w:color w:val="000000"/>
        </w:rPr>
      </w:pPr>
      <w:r w:rsidRPr="00C12053">
        <w:rPr>
          <w:color w:val="000000"/>
        </w:rPr>
        <w:t>In year one, two teachers were chosen to participate in the study; one was selected as the iLit teacher and the other as the comparison teacher. The students were not mainstreamed, but taught all together in their appropriate iLit or comparison class. Daily literacy blocks averaged 90 minutes for iLit students and 50 minutes for comparison students. The district adopted a widely published elementary literacy curriculum for the comparison students.</w:t>
      </w:r>
    </w:p>
    <w:p w14:paraId="6F1C4C1F" w14:textId="77777777" w:rsidR="0073798E" w:rsidRPr="00C12053" w:rsidRDefault="0073798E" w:rsidP="0073798E">
      <w:pPr>
        <w:jc w:val="both"/>
        <w:rPr>
          <w:color w:val="000000"/>
        </w:rPr>
      </w:pPr>
    </w:p>
    <w:p w14:paraId="2BA1467C" w14:textId="77777777" w:rsidR="0073798E" w:rsidRPr="00C12053" w:rsidRDefault="0073798E" w:rsidP="0073798E">
      <w:pPr>
        <w:jc w:val="both"/>
        <w:rPr>
          <w:color w:val="000000"/>
        </w:rPr>
      </w:pPr>
      <w:r w:rsidRPr="00C12053">
        <w:rPr>
          <w:color w:val="000000"/>
        </w:rPr>
        <w:t>In year one, students received a total of 28 weeks of literacy instruction of which iLit students received 22 weeks of iLit instruction.  The iLit teacher was trained approximately one month after the start of school, on September 20, 2013 with a follow up training occurring two months later on November 21</w:t>
      </w:r>
      <w:r w:rsidRPr="00C12053">
        <w:rPr>
          <w:color w:val="000000"/>
          <w:vertAlign w:val="superscript"/>
        </w:rPr>
        <w:t>st</w:t>
      </w:r>
      <w:r w:rsidRPr="00C12053">
        <w:rPr>
          <w:color w:val="000000"/>
        </w:rPr>
        <w:t>. Baseline tests were administered during the first two weeks of school, midyear tests were administered during the last week of January 2014 and the end-of-year testing took place during the last two weeks of April 2014.</w:t>
      </w:r>
    </w:p>
    <w:p w14:paraId="6519DB63" w14:textId="77777777" w:rsidR="0073798E" w:rsidRPr="00C12053" w:rsidRDefault="0073798E" w:rsidP="0073798E">
      <w:pPr>
        <w:jc w:val="both"/>
        <w:rPr>
          <w:color w:val="000000"/>
        </w:rPr>
      </w:pPr>
    </w:p>
    <w:p w14:paraId="2C0244BA" w14:textId="77777777" w:rsidR="0073798E" w:rsidRPr="00C12053" w:rsidRDefault="0073798E" w:rsidP="0073798E">
      <w:pPr>
        <w:jc w:val="both"/>
        <w:rPr>
          <w:color w:val="000000"/>
        </w:rPr>
      </w:pPr>
      <w:r w:rsidRPr="00C12053">
        <w:rPr>
          <w:color w:val="000000"/>
        </w:rPr>
        <w:t>In year two, there were two 8</w:t>
      </w:r>
      <w:r w:rsidRPr="00C12053">
        <w:rPr>
          <w:color w:val="000000"/>
          <w:vertAlign w:val="superscript"/>
        </w:rPr>
        <w:t>th</w:t>
      </w:r>
      <w:r w:rsidRPr="00C12053">
        <w:rPr>
          <w:color w:val="000000"/>
        </w:rPr>
        <w:t xml:space="preserve"> grade teachers in the study, with the participating iLit teacher returning from year one and a new comparison teacher being assigned. The iLit study students </w:t>
      </w:r>
      <w:r w:rsidRPr="00C12053">
        <w:rPr>
          <w:color w:val="000000"/>
        </w:rPr>
        <w:lastRenderedPageBreak/>
        <w:t xml:space="preserve">were not mixed with non-study students and their iLit instruction blocks were reduced to 50 minute daily blocks from 90 minutes. The comparison students were mixed with non-study students and continued to receive 50 minutes of daily literacy instruction. </w:t>
      </w:r>
    </w:p>
    <w:p w14:paraId="6E134C4A" w14:textId="77777777" w:rsidR="0073798E" w:rsidRPr="00C12053" w:rsidRDefault="0073798E" w:rsidP="0073798E">
      <w:pPr>
        <w:jc w:val="both"/>
        <w:rPr>
          <w:color w:val="000000"/>
        </w:rPr>
      </w:pPr>
    </w:p>
    <w:p w14:paraId="75629FFA" w14:textId="77777777" w:rsidR="0073798E" w:rsidRPr="00C12053" w:rsidRDefault="0073798E" w:rsidP="0073798E">
      <w:pPr>
        <w:jc w:val="both"/>
        <w:rPr>
          <w:color w:val="000000"/>
        </w:rPr>
      </w:pPr>
      <w:r w:rsidRPr="00C12053">
        <w:rPr>
          <w:color w:val="000000"/>
        </w:rPr>
        <w:t>Students received a total of 34 weeks of literacy instruction of which iLit students received 29 weeks of iLit instruction.  The iLit teacher received a WebEx training on September 11</w:t>
      </w:r>
      <w:r w:rsidRPr="00C12053">
        <w:rPr>
          <w:color w:val="000000"/>
          <w:vertAlign w:val="superscript"/>
        </w:rPr>
        <w:t>th</w:t>
      </w:r>
      <w:r w:rsidRPr="00C12053">
        <w:rPr>
          <w:color w:val="000000"/>
        </w:rPr>
        <w:t>, 2014.  The teacher received additional training on March 10</w:t>
      </w:r>
      <w:r w:rsidRPr="00C12053">
        <w:rPr>
          <w:color w:val="000000"/>
          <w:vertAlign w:val="superscript"/>
        </w:rPr>
        <w:t>th</w:t>
      </w:r>
      <w:r w:rsidRPr="00C12053">
        <w:rPr>
          <w:color w:val="000000"/>
        </w:rPr>
        <w:t xml:space="preserve">, 2015.  The school administered baseline and midyear testing at the end of August 2014 and January 2015 respectively. End of year testing was completed in the last week of April and the first week of May 2015. </w:t>
      </w:r>
    </w:p>
    <w:p w14:paraId="5E0BBB22" w14:textId="77777777" w:rsidR="00EF372D" w:rsidRPr="00C12053" w:rsidRDefault="00EF372D" w:rsidP="0073798E">
      <w:pPr>
        <w:jc w:val="both"/>
        <w:rPr>
          <w:color w:val="000000"/>
        </w:rPr>
      </w:pPr>
    </w:p>
    <w:p w14:paraId="11D0ED1B" w14:textId="77777777" w:rsidR="0073798E" w:rsidRPr="00C12053" w:rsidRDefault="0073798E" w:rsidP="0073798E">
      <w:pPr>
        <w:jc w:val="both"/>
      </w:pPr>
      <w:r w:rsidRPr="00C12053">
        <w:rPr>
          <w:b/>
          <w:i/>
          <w:color w:val="000080"/>
          <w:sz w:val="28"/>
          <w:szCs w:val="28"/>
        </w:rPr>
        <w:t xml:space="preserve">Michigan District </w:t>
      </w:r>
    </w:p>
    <w:p w14:paraId="1724E733" w14:textId="77777777" w:rsidR="0073798E" w:rsidRPr="00C12053" w:rsidRDefault="0073798E" w:rsidP="0073798E">
      <w:pPr>
        <w:jc w:val="both"/>
        <w:rPr>
          <w:color w:val="000000"/>
        </w:rPr>
      </w:pPr>
      <w:r w:rsidRPr="00C12053">
        <w:rPr>
          <w:color w:val="000000"/>
        </w:rPr>
        <w:t xml:space="preserve">This school resides in a large suburb and boasts a small, family-oriented learning community whose students enjoy a low teacher to student ratio and cutting edge learning technology. In the 2010-11 school year, the district served a community of approximately 10,000.  The median household income is approximately $54,000, indicating a middle-class community.  </w:t>
      </w:r>
    </w:p>
    <w:p w14:paraId="7DC64074" w14:textId="77777777" w:rsidR="0073798E" w:rsidRPr="00C12053" w:rsidRDefault="0073798E" w:rsidP="0073798E">
      <w:pPr>
        <w:jc w:val="both"/>
      </w:pPr>
    </w:p>
    <w:p w14:paraId="39A3936F" w14:textId="77777777" w:rsidR="0073798E" w:rsidRPr="00C12053" w:rsidRDefault="0073798E" w:rsidP="0073798E">
      <w:pPr>
        <w:jc w:val="both"/>
      </w:pPr>
      <w:r w:rsidRPr="00C12053">
        <w:t>This is a small sized school serving over 400 students in grades seven through twelve.  The 7</w:t>
      </w:r>
      <w:r w:rsidRPr="00C12053">
        <w:rPr>
          <w:vertAlign w:val="superscript"/>
        </w:rPr>
        <w:t>th</w:t>
      </w:r>
      <w:r w:rsidRPr="00C12053">
        <w:t xml:space="preserve"> grade level is made up of approximately 70 students.  This school is primarily Caucasian, which represents 84% of the school population.  African Americans comprise 6% of the school’s population.  Hispanic, American Indian/Alaskan Native and multi-ethnic students make up the remaining 10% of the population.  This school falls into the mid-range for participation in the nation’s free or reduced-price lunch program with 61% of students eligible to receive free or reduced price lunch.  </w:t>
      </w:r>
    </w:p>
    <w:p w14:paraId="535BD560" w14:textId="77777777" w:rsidR="0073798E" w:rsidRPr="00C12053" w:rsidRDefault="0073798E" w:rsidP="0073798E">
      <w:pPr>
        <w:jc w:val="both"/>
      </w:pPr>
    </w:p>
    <w:p w14:paraId="0515ABBB" w14:textId="77777777" w:rsidR="0073798E" w:rsidRPr="00C12053" w:rsidRDefault="0073798E" w:rsidP="0073798E">
      <w:pPr>
        <w:jc w:val="both"/>
      </w:pPr>
      <w:r w:rsidRPr="00C12053">
        <w:t>This school met AYP in the 2011-12 school year.  The percentage of 7</w:t>
      </w:r>
      <w:r w:rsidRPr="00C12053">
        <w:rPr>
          <w:vertAlign w:val="superscript"/>
        </w:rPr>
        <w:t>th</w:t>
      </w:r>
      <w:r w:rsidRPr="00C12053">
        <w:t xml:space="preserve"> grade students testing at standard in mathematics in the 2012-13 school year was 31% lower than the statewide results of 38%.  In reading, 47% of students tested at standard compared to 62% statewide. Eighth grade students testing at standard for math and reading also fell below the statewide averages of 33% and 66%, respectively, to 9% for math and 58% for reading. The student/teacher ratio is approximately 18 to 1.</w:t>
      </w:r>
      <w:r w:rsidRPr="00C12053">
        <w:rPr>
          <w:color w:val="FF0000"/>
        </w:rPr>
        <w:t xml:space="preserve">  </w:t>
      </w:r>
    </w:p>
    <w:p w14:paraId="2B69CEF8" w14:textId="77777777" w:rsidR="0073798E" w:rsidRPr="00C12053" w:rsidRDefault="0073798E" w:rsidP="0073798E">
      <w:pPr>
        <w:jc w:val="both"/>
        <w:rPr>
          <w:color w:val="000000"/>
        </w:rPr>
      </w:pPr>
    </w:p>
    <w:p w14:paraId="1535D61D" w14:textId="77777777" w:rsidR="0073798E" w:rsidRPr="00C12053" w:rsidRDefault="0073798E" w:rsidP="0073798E">
      <w:pPr>
        <w:jc w:val="both"/>
        <w:rPr>
          <w:color w:val="000000"/>
        </w:rPr>
      </w:pPr>
      <w:r w:rsidRPr="00C12053">
        <w:rPr>
          <w:color w:val="000000"/>
        </w:rPr>
        <w:t>In the first year of the study, one teacher was chosen to participate in the study to serve as both the comparison and iLit teacher. This teacher led one iLit class, exclusive to treatment students, and one comparison class, excusive to comparison students. Daily literacy blocks averaged 99 minutes for iLit and comparison classes. In addition, the lowest achieving students in each group received an additional 40 minutes of literacy intervention instruction. Students were assigned to receive the intervention each semester; however, after the first semester each student had the opportunity to test out of this additional instruction.  Comparison teachers at this site combine teacher created and compiled resources with their district adopted published literacy program to use with their state sanctioned CCSS aligned framework (i.e., MAISA)</w:t>
      </w:r>
    </w:p>
    <w:p w14:paraId="4D63DE17" w14:textId="77777777" w:rsidR="0073798E" w:rsidRPr="00C12053" w:rsidRDefault="0073798E" w:rsidP="0073798E">
      <w:pPr>
        <w:jc w:val="both"/>
      </w:pPr>
    </w:p>
    <w:p w14:paraId="0B4C041B" w14:textId="77777777" w:rsidR="0073798E" w:rsidRPr="00C12053" w:rsidRDefault="0073798E" w:rsidP="0073798E">
      <w:pPr>
        <w:jc w:val="both"/>
      </w:pPr>
      <w:r w:rsidRPr="00C12053">
        <w:t>The iLit teacher was trained at the start of the school year on September 6</w:t>
      </w:r>
      <w:r w:rsidRPr="00C12053">
        <w:rPr>
          <w:vertAlign w:val="superscript"/>
        </w:rPr>
        <w:t>th</w:t>
      </w:r>
      <w:r w:rsidRPr="00C12053">
        <w:t>. The final training took place on October 22, 2013. The baseline testing was administered during the last two weeks in September 2013, middle of year testing was completed in mid-January 2014 and the end of year testing was administered at the beginning of May. Students received a total of 34 weeks of literacy instruction of which iLit students received 26 weeks of iLit instruction.</w:t>
      </w:r>
    </w:p>
    <w:p w14:paraId="7E463AEC" w14:textId="77777777" w:rsidR="0073798E" w:rsidRPr="00C12053" w:rsidRDefault="0073798E" w:rsidP="0073798E">
      <w:pPr>
        <w:jc w:val="both"/>
        <w:rPr>
          <w:color w:val="000000"/>
        </w:rPr>
      </w:pPr>
    </w:p>
    <w:p w14:paraId="674F7C00" w14:textId="77777777" w:rsidR="0073798E" w:rsidRPr="00C12053" w:rsidRDefault="0073798E" w:rsidP="0073798E">
      <w:pPr>
        <w:jc w:val="both"/>
        <w:rPr>
          <w:color w:val="000000"/>
        </w:rPr>
      </w:pPr>
    </w:p>
    <w:p w14:paraId="6F54E709" w14:textId="77777777" w:rsidR="0073798E" w:rsidRPr="00C12053" w:rsidRDefault="0073798E" w:rsidP="0073798E">
      <w:pPr>
        <w:jc w:val="both"/>
        <w:rPr>
          <w:color w:val="000000"/>
        </w:rPr>
      </w:pPr>
      <w:r w:rsidRPr="00C12053">
        <w:rPr>
          <w:color w:val="000000"/>
        </w:rPr>
        <w:lastRenderedPageBreak/>
        <w:t xml:space="preserve">In year two, the year one iLit teacher instructed both the iLit section and one comparison section for 52 minutes of daily instruction each. For the additional comparison students, who were also allotted 98 minute literacy blocks, another teacher was assigned; however, that teacher later resigned in early February 2015. The class was assigned to one substitute teacher until the end of March and then another substitute until mid-April, at which point a permanent teacher was hired. </w:t>
      </w:r>
    </w:p>
    <w:p w14:paraId="273038B6" w14:textId="77777777" w:rsidR="0073798E" w:rsidRPr="00C12053" w:rsidRDefault="0073798E" w:rsidP="0073798E">
      <w:pPr>
        <w:jc w:val="both"/>
        <w:rPr>
          <w:color w:val="000000"/>
        </w:rPr>
      </w:pPr>
    </w:p>
    <w:p w14:paraId="7FFC5C14" w14:textId="77777777" w:rsidR="0073798E" w:rsidRPr="00C12053" w:rsidRDefault="0073798E" w:rsidP="0073798E">
      <w:pPr>
        <w:jc w:val="both"/>
        <w:rPr>
          <w:color w:val="000000"/>
        </w:rPr>
      </w:pPr>
      <w:r w:rsidRPr="00C12053">
        <w:rPr>
          <w:color w:val="000000"/>
        </w:rPr>
        <w:t>Students received a total of 35 weeks of literacy instruction of which iLit students received 31 weeks of iLit instruction.  The iLit teacher had training through an online webinar in September 2014 and received additional training on December 4</w:t>
      </w:r>
      <w:r w:rsidRPr="00C12053">
        <w:rPr>
          <w:color w:val="000000"/>
          <w:vertAlign w:val="superscript"/>
        </w:rPr>
        <w:t>th</w:t>
      </w:r>
      <w:r w:rsidRPr="00C12053">
        <w:rPr>
          <w:color w:val="000000"/>
        </w:rPr>
        <w:t xml:space="preserve">, 2014.  Baseline testing was completed near the end of September 2014, middle of year testing was administered during the last week of January 2015 and the end of year testing was administered in mid-May 2015.  </w:t>
      </w:r>
    </w:p>
    <w:p w14:paraId="0F6573CA" w14:textId="77777777" w:rsidR="0073798E" w:rsidRPr="00C12053" w:rsidRDefault="0073798E" w:rsidP="0073798E">
      <w:pPr>
        <w:jc w:val="both"/>
        <w:rPr>
          <w:color w:val="000000"/>
        </w:rPr>
      </w:pPr>
    </w:p>
    <w:p w14:paraId="23E32FB3" w14:textId="77777777" w:rsidR="0073798E" w:rsidRPr="00C12053" w:rsidRDefault="0073798E" w:rsidP="0073798E">
      <w:pPr>
        <w:jc w:val="both"/>
      </w:pPr>
      <w:r w:rsidRPr="00C12053">
        <w:rPr>
          <w:b/>
          <w:i/>
          <w:color w:val="000080"/>
          <w:sz w:val="28"/>
          <w:szCs w:val="28"/>
        </w:rPr>
        <w:t xml:space="preserve">New Jersey District </w:t>
      </w:r>
    </w:p>
    <w:p w14:paraId="5DA9AF3B" w14:textId="77777777" w:rsidR="0073798E" w:rsidRPr="00C12053" w:rsidRDefault="0073798E" w:rsidP="0073798E">
      <w:pPr>
        <w:jc w:val="both"/>
      </w:pPr>
      <w:r w:rsidRPr="00C12053">
        <w:rPr>
          <w:color w:val="000000"/>
        </w:rPr>
        <w:t>This school resides in a large suburb and students are expected to follow a strict dress code.  This school’s goal is to create a child centered environment where students can challenge themselves academically while developing a sense of self-worth and a life-long love of learning. In the</w:t>
      </w:r>
      <w:r w:rsidRPr="00C12053">
        <w:t xml:space="preserve"> 2010-11 school year, the district served a community of over 45,000.  The median household income is approximately $51,000, indicating a middle-class community.  </w:t>
      </w:r>
    </w:p>
    <w:p w14:paraId="51B45608" w14:textId="77777777" w:rsidR="0073798E" w:rsidRPr="00C12053" w:rsidRDefault="0073798E" w:rsidP="0073798E">
      <w:pPr>
        <w:jc w:val="both"/>
      </w:pPr>
    </w:p>
    <w:p w14:paraId="0E554474" w14:textId="77777777" w:rsidR="0073798E" w:rsidRPr="00C12053" w:rsidRDefault="0073798E" w:rsidP="0073798E">
      <w:pPr>
        <w:jc w:val="both"/>
      </w:pPr>
      <w:r w:rsidRPr="00C12053">
        <w:t>This is a medium to large sized school serving over 650 students in grades five through eight.  The 7</w:t>
      </w:r>
      <w:r w:rsidRPr="00C12053">
        <w:rPr>
          <w:vertAlign w:val="superscript"/>
        </w:rPr>
        <w:t>th</w:t>
      </w:r>
      <w:r w:rsidRPr="00C12053">
        <w:t xml:space="preserve"> grade level is made up of approximately 185 students.  African Americans comprise 50% of the school’s population.  Hispanic students represent 29% and Caucasian students represent 20% of the population, while Asian students make up the remaining 1%. This school falls into the high range for participation in the nation’s lunch program with 72% of students eligible to receive free or reduced-price lunch.  </w:t>
      </w:r>
    </w:p>
    <w:p w14:paraId="782FDDEB" w14:textId="77777777" w:rsidR="0073798E" w:rsidRPr="00C12053" w:rsidRDefault="0073798E" w:rsidP="0073798E">
      <w:pPr>
        <w:jc w:val="both"/>
      </w:pPr>
    </w:p>
    <w:p w14:paraId="5F618105" w14:textId="77777777" w:rsidR="0073798E" w:rsidRPr="00C12053" w:rsidRDefault="0073798E" w:rsidP="0073798E">
      <w:pPr>
        <w:jc w:val="both"/>
      </w:pPr>
      <w:r w:rsidRPr="00C12053">
        <w:t>This school met AYP in the 2009-10 school year. In the 2012-13 school year 7</w:t>
      </w:r>
      <w:r w:rsidRPr="00C12053">
        <w:rPr>
          <w:vertAlign w:val="superscript"/>
        </w:rPr>
        <w:t>th</w:t>
      </w:r>
      <w:r w:rsidRPr="00C12053">
        <w:t xml:space="preserve"> grade students </w:t>
      </w:r>
      <w:r w:rsidRPr="00C12053">
        <w:rPr>
          <w:color w:val="000000"/>
        </w:rPr>
        <w:t>testing at standard in mathematics was 36%, 28% lower than the statewide results whereas 34% of students tested at standard in reading compared to 65% statewide. The percentage of 8</w:t>
      </w:r>
      <w:r w:rsidRPr="00C12053">
        <w:rPr>
          <w:color w:val="000000"/>
          <w:vertAlign w:val="superscript"/>
        </w:rPr>
        <w:t>th</w:t>
      </w:r>
      <w:r w:rsidRPr="00C12053">
        <w:rPr>
          <w:color w:val="000000"/>
        </w:rPr>
        <w:t xml:space="preserve"> grade students testing at standard in math was 15% lower than the statewide average of 69%. In reading 70% of students tested at standard, which is 12% lower than the statewide results. The student/teacher ratio is approximately 8 to 1.  </w:t>
      </w:r>
    </w:p>
    <w:p w14:paraId="3A9F9860" w14:textId="77777777" w:rsidR="0073798E" w:rsidRPr="00C12053" w:rsidRDefault="0073798E" w:rsidP="0073798E">
      <w:pPr>
        <w:jc w:val="both"/>
        <w:rPr>
          <w:color w:val="000000"/>
        </w:rPr>
      </w:pPr>
    </w:p>
    <w:p w14:paraId="17A56282" w14:textId="77777777" w:rsidR="0073798E" w:rsidRPr="00C12053" w:rsidRDefault="0073798E" w:rsidP="0073798E">
      <w:pPr>
        <w:jc w:val="both"/>
        <w:rPr>
          <w:color w:val="000000"/>
        </w:rPr>
      </w:pPr>
      <w:r w:rsidRPr="00C12053">
        <w:rPr>
          <w:color w:val="000000"/>
        </w:rPr>
        <w:t>In the first year of the study, this school chose one iLit teacher and two comparison teachers to instruct the 7</w:t>
      </w:r>
      <w:r w:rsidRPr="00C12053">
        <w:rPr>
          <w:color w:val="000000"/>
          <w:vertAlign w:val="superscript"/>
        </w:rPr>
        <w:t>th</w:t>
      </w:r>
      <w:r w:rsidRPr="00C12053">
        <w:rPr>
          <w:color w:val="000000"/>
        </w:rPr>
        <w:t xml:space="preserve"> grade literacy study classes. The iLit students were combined in one class together and received 110 minutes of daily iLit instruction whereas comparison students were mainstreamed with other students into 2 sections and received 58 minutes of daily instruction. The district did not adopt an elementary basal literacy curriculum. As an alternative, this site pulls resources from a widely published basal text, but primarily utilizes novels, online resources and a variety of teacher created materials to meet the needs of their students.</w:t>
      </w:r>
    </w:p>
    <w:p w14:paraId="3EC0E194" w14:textId="77777777" w:rsidR="0073798E" w:rsidRPr="00C12053" w:rsidRDefault="0073798E" w:rsidP="0073798E">
      <w:pPr>
        <w:jc w:val="both"/>
        <w:rPr>
          <w:color w:val="000000"/>
        </w:rPr>
      </w:pPr>
    </w:p>
    <w:p w14:paraId="089AC821" w14:textId="77777777" w:rsidR="0073798E" w:rsidRPr="00C12053" w:rsidRDefault="0073798E" w:rsidP="0073798E">
      <w:pPr>
        <w:jc w:val="both"/>
        <w:rPr>
          <w:color w:val="000000"/>
        </w:rPr>
      </w:pPr>
      <w:r w:rsidRPr="00C12053">
        <w:rPr>
          <w:color w:val="000000"/>
        </w:rPr>
        <w:t>This research site did not join the study until the beginning of February.  The iLit teacher was trained on January 15, 2014, approximately four months after school began. A follow up training took place two months later on March 7</w:t>
      </w:r>
      <w:r w:rsidRPr="00C12053">
        <w:rPr>
          <w:color w:val="000000"/>
          <w:vertAlign w:val="superscript"/>
        </w:rPr>
        <w:t>th</w:t>
      </w:r>
      <w:r w:rsidRPr="00C12053">
        <w:rPr>
          <w:color w:val="000000"/>
        </w:rPr>
        <w:t xml:space="preserve">. The school administered baseline, midyear and end-of-year testing at the beginning of November 2013, February 2014 and the end of May 2014 respectively. Students received a total of 30 weeks of literacy instruction of which iLit students received 13 weeks of iLit instruction. </w:t>
      </w:r>
    </w:p>
    <w:p w14:paraId="34FC59E7" w14:textId="77777777" w:rsidR="0073798E" w:rsidRPr="00C12053" w:rsidRDefault="0073798E" w:rsidP="0073798E">
      <w:pPr>
        <w:jc w:val="both"/>
        <w:rPr>
          <w:color w:val="000000"/>
        </w:rPr>
      </w:pPr>
    </w:p>
    <w:p w14:paraId="5011CA6F" w14:textId="77777777" w:rsidR="0073798E" w:rsidRPr="00C12053" w:rsidRDefault="0073798E" w:rsidP="0073798E">
      <w:pPr>
        <w:jc w:val="both"/>
        <w:rPr>
          <w:color w:val="000000"/>
        </w:rPr>
      </w:pPr>
      <w:r w:rsidRPr="00C12053">
        <w:rPr>
          <w:color w:val="000000"/>
        </w:rPr>
        <w:lastRenderedPageBreak/>
        <w:t>In year two, the year one iLit teacher returned along with two new comparison teachers. The iLit students remained in one 120 minute literacy block together where they received 90 minutes of iLit instruction and 30 minutes of other literacy instruction (Lucy Calkin’s Lit Wrkshp). The comparison students continued to receive 58 minute literacy blocks and they were mixed into various periods throughout the day with non-study students.</w:t>
      </w:r>
    </w:p>
    <w:p w14:paraId="558FE428" w14:textId="77777777" w:rsidR="0073798E" w:rsidRPr="00C12053" w:rsidRDefault="0073798E" w:rsidP="0073798E">
      <w:pPr>
        <w:jc w:val="both"/>
        <w:rPr>
          <w:color w:val="000000"/>
        </w:rPr>
      </w:pPr>
    </w:p>
    <w:p w14:paraId="0C30B896" w14:textId="77777777" w:rsidR="0073798E" w:rsidRPr="00C12053" w:rsidRDefault="0073798E" w:rsidP="0073798E">
      <w:pPr>
        <w:jc w:val="both"/>
        <w:rPr>
          <w:color w:val="000000"/>
        </w:rPr>
      </w:pPr>
      <w:r w:rsidRPr="00C12053">
        <w:rPr>
          <w:color w:val="000000"/>
        </w:rPr>
        <w:t>Students received a total of 34 weeks of literacy instruction of which iLit students received 26 weeks of iLit instruction.  The iLit teacher received a WebEx training on September 12</w:t>
      </w:r>
      <w:r w:rsidRPr="00C12053">
        <w:rPr>
          <w:color w:val="000000"/>
          <w:vertAlign w:val="superscript"/>
        </w:rPr>
        <w:t>th</w:t>
      </w:r>
      <w:r w:rsidRPr="00C12053">
        <w:rPr>
          <w:color w:val="000000"/>
        </w:rPr>
        <w:t>, 2014.  The teacher received additional training on February 19</w:t>
      </w:r>
      <w:r w:rsidRPr="00C12053">
        <w:rPr>
          <w:color w:val="000000"/>
          <w:vertAlign w:val="superscript"/>
        </w:rPr>
        <w:t>th</w:t>
      </w:r>
      <w:r w:rsidRPr="00C12053">
        <w:rPr>
          <w:color w:val="000000"/>
        </w:rPr>
        <w:t>, 2015.  The beginning of year testing was administered to all study students in early September 2014, whereas midyear tests were completed by iLit students in the first week of February 2015 and comparison students in the last week of February 2015.  End of year tests were administered in mid-May 2015.</w:t>
      </w:r>
    </w:p>
    <w:p w14:paraId="040472A5" w14:textId="77777777" w:rsidR="0073798E" w:rsidRPr="00C12053" w:rsidRDefault="0073798E" w:rsidP="0073798E">
      <w:pPr>
        <w:jc w:val="both"/>
        <w:rPr>
          <w:color w:val="000000"/>
        </w:rPr>
      </w:pPr>
    </w:p>
    <w:p w14:paraId="39AEE282" w14:textId="77777777" w:rsidR="0073798E" w:rsidRPr="00C12053" w:rsidRDefault="0073798E" w:rsidP="0073798E">
      <w:pPr>
        <w:jc w:val="both"/>
      </w:pPr>
      <w:r w:rsidRPr="00C12053">
        <w:rPr>
          <w:b/>
          <w:i/>
          <w:color w:val="000080"/>
          <w:sz w:val="28"/>
          <w:szCs w:val="28"/>
        </w:rPr>
        <w:t xml:space="preserve">New York District </w:t>
      </w:r>
    </w:p>
    <w:p w14:paraId="05346268" w14:textId="77777777" w:rsidR="0073798E" w:rsidRPr="00C12053" w:rsidRDefault="0073798E" w:rsidP="0073798E">
      <w:pPr>
        <w:jc w:val="both"/>
      </w:pPr>
      <w:r w:rsidRPr="00C12053">
        <w:rPr>
          <w:color w:val="000000"/>
        </w:rPr>
        <w:t>This school resides in a large suburb.  This research site is proud of the many programs they offer to prepare students for higher education and their eventual careers. Further, they prioritize providing optimal curriculum, high quality teaching practices, and counselors to guide and support students academically. In the 2010-11 school year, the district served a community of</w:t>
      </w:r>
      <w:r w:rsidRPr="00C12053">
        <w:t xml:space="preserve"> just under 44,000. The median household income is approximately $84,000, indicating a middle-class community.  </w:t>
      </w:r>
    </w:p>
    <w:p w14:paraId="45AFE6B4" w14:textId="77777777" w:rsidR="0073798E" w:rsidRPr="00C12053" w:rsidRDefault="0073798E" w:rsidP="0073798E">
      <w:pPr>
        <w:jc w:val="both"/>
      </w:pPr>
    </w:p>
    <w:p w14:paraId="083266B4" w14:textId="77777777" w:rsidR="0073798E" w:rsidRPr="00C12053" w:rsidRDefault="0073798E" w:rsidP="0073798E">
      <w:pPr>
        <w:jc w:val="both"/>
      </w:pPr>
      <w:r w:rsidRPr="00C12053">
        <w:t>This is a medium to large sized school serving almost 900 students in grades six through eight. The 7</w:t>
      </w:r>
      <w:r w:rsidRPr="00C12053">
        <w:rPr>
          <w:vertAlign w:val="superscript"/>
        </w:rPr>
        <w:t>th</w:t>
      </w:r>
      <w:r w:rsidRPr="00C12053">
        <w:t xml:space="preserve"> grade is made up of approximately 300 students. Sixty-two percent of the school’s population is made up of Hispanic students.  African American students make up 36% and Caucasian students make up the remaining 2%. Eighty-six percent of the students at this school are eligible for free or reduced price lunch, which places this school into the high range for participation in the nation’s free or reduced-price lunch program. </w:t>
      </w:r>
    </w:p>
    <w:p w14:paraId="109ABCAB" w14:textId="77777777" w:rsidR="0073798E" w:rsidRPr="00C12053" w:rsidRDefault="0073798E" w:rsidP="0073798E">
      <w:pPr>
        <w:jc w:val="both"/>
      </w:pPr>
    </w:p>
    <w:p w14:paraId="1B44A538" w14:textId="77777777" w:rsidR="0073798E" w:rsidRPr="00C12053" w:rsidRDefault="0073798E" w:rsidP="0073798E">
      <w:pPr>
        <w:jc w:val="both"/>
      </w:pPr>
      <w:r w:rsidRPr="00C12053">
        <w:t>In the 2012-13 school year 12% of 7</w:t>
      </w:r>
      <w:r w:rsidRPr="00C12053">
        <w:rPr>
          <w:vertAlign w:val="superscript"/>
        </w:rPr>
        <w:t>th</w:t>
      </w:r>
      <w:r w:rsidRPr="00C12053">
        <w:t xml:space="preserve"> grade students tested at standard in math, compared to the statewide results of 28%. In reading 19% of students, as compared to the statewide results of 31%, tested at standard.  Only 13% of 8</w:t>
      </w:r>
      <w:r w:rsidRPr="00C12053">
        <w:rPr>
          <w:vertAlign w:val="superscript"/>
        </w:rPr>
        <w:t>th</w:t>
      </w:r>
      <w:r w:rsidRPr="00C12053">
        <w:t xml:space="preserve"> grade students testing at standard in math, which is 14% lower than the statewide results.  </w:t>
      </w:r>
      <w:r w:rsidRPr="00C12053">
        <w:rPr>
          <w:color w:val="000000"/>
        </w:rPr>
        <w:t xml:space="preserve">In reading, 20% of students tested at standard compared to the statewide results of 34%. </w:t>
      </w:r>
      <w:r w:rsidRPr="00C12053">
        <w:t xml:space="preserve">The student/teacher ratio is approximately 11 to 1.  </w:t>
      </w:r>
    </w:p>
    <w:p w14:paraId="3383188E" w14:textId="77777777" w:rsidR="0073798E" w:rsidRPr="00C12053" w:rsidRDefault="0073798E" w:rsidP="0073798E">
      <w:pPr>
        <w:jc w:val="both"/>
        <w:rPr>
          <w:color w:val="000000"/>
        </w:rPr>
      </w:pPr>
    </w:p>
    <w:p w14:paraId="4751D6CD" w14:textId="77777777" w:rsidR="0073798E" w:rsidRPr="00C12053" w:rsidRDefault="0073798E" w:rsidP="0073798E">
      <w:pPr>
        <w:jc w:val="both"/>
        <w:rPr>
          <w:color w:val="000000"/>
        </w:rPr>
      </w:pPr>
      <w:r w:rsidRPr="00C12053">
        <w:rPr>
          <w:color w:val="000000"/>
        </w:rPr>
        <w:t>Two 7</w:t>
      </w:r>
      <w:r w:rsidRPr="00C12053">
        <w:rPr>
          <w:color w:val="000000"/>
          <w:vertAlign w:val="superscript"/>
        </w:rPr>
        <w:t>th</w:t>
      </w:r>
      <w:r w:rsidRPr="00C12053">
        <w:rPr>
          <w:color w:val="000000"/>
        </w:rPr>
        <w:t xml:space="preserve"> grade teachers agreed to participate in the study as the iLit teachers. These same teachers, in addition to two others, instruct the comparison students. While the iLit students were in a class exclusive to treatment students, the comparison students were mainstreamed into 4 different sections. Daily literacy blocks averaged 86 minutes for iLit students, and 43 minutes for comparison students. This site occasionally pulls resources from their district adopted published literacy program but primarily employ a state sanctioned CCSS aligned program.   </w:t>
      </w:r>
    </w:p>
    <w:p w14:paraId="29AA60CC" w14:textId="77777777" w:rsidR="0073798E" w:rsidRPr="00C12053" w:rsidRDefault="0073798E" w:rsidP="0073798E">
      <w:pPr>
        <w:jc w:val="both"/>
        <w:rPr>
          <w:color w:val="000000"/>
        </w:rPr>
      </w:pPr>
    </w:p>
    <w:p w14:paraId="08504249" w14:textId="77777777" w:rsidR="0073798E" w:rsidRPr="00C12053" w:rsidRDefault="0073798E" w:rsidP="0073798E">
      <w:pPr>
        <w:jc w:val="both"/>
        <w:rPr>
          <w:color w:val="000000"/>
        </w:rPr>
      </w:pPr>
      <w:r w:rsidRPr="00C12053">
        <w:rPr>
          <w:color w:val="000000"/>
        </w:rPr>
        <w:t>Students received a total of 30 weeks of literacy instruction of which iLit students received 23 weeks of iLit instruction.  The iLit teachers were trained on October 15, 2013, approximately one month after school began. They received an additional training on December 12</w:t>
      </w:r>
      <w:r w:rsidRPr="00C12053">
        <w:rPr>
          <w:color w:val="000000"/>
          <w:vertAlign w:val="superscript"/>
        </w:rPr>
        <w:t>th</w:t>
      </w:r>
      <w:r w:rsidRPr="00C12053">
        <w:rPr>
          <w:color w:val="000000"/>
        </w:rPr>
        <w:t xml:space="preserve"> and a final training on April 22, 2014. The final training was provided at the request of the teachers and was tailored to their individual needs. Baseline testing was administered during at the end of September 2013, the middle of year during the last week of January 2014 and the end of year testing during the last week of May 2014.</w:t>
      </w:r>
    </w:p>
    <w:p w14:paraId="0A0BABA3" w14:textId="77777777" w:rsidR="0073798E" w:rsidRPr="00C12053" w:rsidRDefault="0073798E" w:rsidP="0073798E"/>
    <w:p w14:paraId="7CC439C5" w14:textId="77777777" w:rsidR="0073798E" w:rsidRPr="00C12053" w:rsidRDefault="0073798E" w:rsidP="0073798E">
      <w:r w:rsidRPr="00C12053">
        <w:t xml:space="preserve">In year two, the two iLit teachers, who also served as comparison teachers, returned to teach in the same capacity as year one. In addition there was one new comparison teacher, with only a handful of comparison students assigned to him. All comparison classes, and one iLit class, were mixed with non-study students. Daily literacy blocks changed for iLit in that the students received 45 minutes of iLit instruction and 45 minutes of other literacy (Odell) instruction. The comparison students continued to have daily 45 minute literacy blocks. </w:t>
      </w:r>
    </w:p>
    <w:p w14:paraId="0EE92531" w14:textId="77777777" w:rsidR="0073798E" w:rsidRPr="00C12053" w:rsidRDefault="0073798E" w:rsidP="0073798E"/>
    <w:p w14:paraId="21448E90" w14:textId="77777777" w:rsidR="0073798E" w:rsidRPr="009E082E" w:rsidRDefault="0073798E" w:rsidP="0073798E">
      <w:pPr>
        <w:jc w:val="both"/>
        <w:rPr>
          <w:color w:val="000000"/>
        </w:rPr>
      </w:pPr>
      <w:r w:rsidRPr="00C12053">
        <w:t>Students received a total of 36 weeks of literacy instruction of which 29 weeks were iLit instruction.  The iLit teachers were trained on October 9</w:t>
      </w:r>
      <w:r w:rsidRPr="00C12053">
        <w:rPr>
          <w:vertAlign w:val="superscript"/>
        </w:rPr>
        <w:t>th</w:t>
      </w:r>
      <w:r w:rsidRPr="00C12053">
        <w:t>, 2014, approximately one month after school started.  They received additional training on February 26</w:t>
      </w:r>
      <w:r w:rsidRPr="00C12053">
        <w:rPr>
          <w:vertAlign w:val="superscript"/>
        </w:rPr>
        <w:t>th</w:t>
      </w:r>
      <w:r w:rsidRPr="00C12053">
        <w:t xml:space="preserve">, 2015. </w:t>
      </w:r>
      <w:r w:rsidRPr="00C12053">
        <w:rPr>
          <w:color w:val="000000"/>
        </w:rPr>
        <w:t>The school administered baseline and midyear testing in mid-September 2014 and February 2015 respectively. End of year testing was completed during the last week of May and the first week of June 2015.</w:t>
      </w:r>
      <w:r w:rsidRPr="009E082E">
        <w:rPr>
          <w:color w:val="000000"/>
        </w:rPr>
        <w:t xml:space="preserve"> </w:t>
      </w:r>
    </w:p>
    <w:p w14:paraId="5E1DE1E8" w14:textId="77777777" w:rsidR="003D244A" w:rsidRPr="00015833" w:rsidRDefault="003D244A" w:rsidP="0073798E">
      <w:pPr>
        <w:jc w:val="both"/>
      </w:pPr>
    </w:p>
    <w:sectPr w:rsidR="003D244A" w:rsidRPr="00015833" w:rsidSect="004D6535">
      <w:footerReference w:type="default" r:id="rId45"/>
      <w:pgSz w:w="12240" w:h="15840" w:code="1"/>
      <w:pgMar w:top="1267" w:right="1440" w:bottom="547" w:left="1440" w:header="720" w:footer="720" w:gutter="0"/>
      <w:pgNumType w:start="1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A543C" w14:textId="77777777" w:rsidR="00FC3524" w:rsidRDefault="00FC3524">
      <w:r>
        <w:separator/>
      </w:r>
    </w:p>
  </w:endnote>
  <w:endnote w:type="continuationSeparator" w:id="0">
    <w:p w14:paraId="045163D3" w14:textId="77777777" w:rsidR="00FC3524" w:rsidRDefault="00FC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E2BBE" w14:textId="77777777" w:rsidR="0054668A" w:rsidRDefault="0054668A" w:rsidP="005E60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30DCBB" w14:textId="77777777" w:rsidR="0054668A" w:rsidRDefault="0054668A" w:rsidP="00D809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4F73B" w14:textId="77777777" w:rsidR="0054668A" w:rsidRPr="003A6B9F" w:rsidRDefault="0054668A" w:rsidP="00D80928">
    <w:pPr>
      <w:pStyle w:val="Footer"/>
      <w:ind w:right="360"/>
      <w:rPr>
        <w:rFonts w:ascii="Arial" w:hAnsi="Arial" w:cs="Arial"/>
        <w:sz w:val="20"/>
        <w:szCs w:val="20"/>
      </w:rPr>
    </w:pPr>
    <w:r w:rsidRPr="003A6B9F">
      <w:rPr>
        <w:rFonts w:ascii="Arial" w:hAnsi="Arial" w:cs="Arial"/>
        <w:sz w:val="20"/>
        <w:szCs w:val="20"/>
      </w:rPr>
      <w:tab/>
    </w:r>
    <w:r w:rsidRPr="003A6B9F">
      <w:rPr>
        <w:rFonts w:ascii="Arial" w:hAnsi="Arial" w:cs="Arial"/>
        <w:sz w:val="20"/>
        <w:szCs w:val="20"/>
      </w:rPr>
      <w:tab/>
    </w:r>
    <w:r w:rsidRPr="003A6B9F">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522330"/>
      <w:docPartObj>
        <w:docPartGallery w:val="Page Numbers (Bottom of Page)"/>
        <w:docPartUnique/>
      </w:docPartObj>
    </w:sdtPr>
    <w:sdtEndPr>
      <w:rPr>
        <w:noProof/>
      </w:rPr>
    </w:sdtEndPr>
    <w:sdtContent>
      <w:p w14:paraId="1A8C7112" w14:textId="38E94B9F" w:rsidR="0054668A" w:rsidRDefault="0054668A">
        <w:pPr>
          <w:pStyle w:val="Footer"/>
          <w:jc w:val="right"/>
        </w:pPr>
        <w:r>
          <w:fldChar w:fldCharType="begin"/>
        </w:r>
        <w:r>
          <w:instrText xml:space="preserve"> PAGE   \* MERGEFORMAT </w:instrText>
        </w:r>
        <w:r>
          <w:fldChar w:fldCharType="separate"/>
        </w:r>
        <w:r w:rsidR="002C2E1E">
          <w:rPr>
            <w:noProof/>
          </w:rPr>
          <w:t>i</w:t>
        </w:r>
        <w:r>
          <w:rPr>
            <w:noProof/>
          </w:rPr>
          <w:fldChar w:fldCharType="end"/>
        </w:r>
      </w:p>
    </w:sdtContent>
  </w:sdt>
  <w:p w14:paraId="18DA76FD" w14:textId="77777777" w:rsidR="0054668A" w:rsidRDefault="0054668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2BB38" w14:textId="77777777" w:rsidR="0054668A" w:rsidRDefault="0054668A">
    <w:pPr>
      <w:pStyle w:val="Footer"/>
      <w:jc w:val="right"/>
    </w:pPr>
    <w:r>
      <w:fldChar w:fldCharType="begin"/>
    </w:r>
    <w:r>
      <w:instrText xml:space="preserve"> PAGE   \* MERGEFORMAT </w:instrText>
    </w:r>
    <w:r>
      <w:fldChar w:fldCharType="separate"/>
    </w:r>
    <w:r>
      <w:rPr>
        <w:noProof/>
      </w:rPr>
      <w:t>- 1 -</w:t>
    </w:r>
    <w:r>
      <w:fldChar w:fldCharType="end"/>
    </w:r>
  </w:p>
  <w:p w14:paraId="2765356D" w14:textId="77777777" w:rsidR="0054668A" w:rsidRDefault="0054668A">
    <w:pPr>
      <w:pStyle w:val="Footer"/>
    </w:pPr>
  </w:p>
  <w:p w14:paraId="70BF6784" w14:textId="77777777" w:rsidR="0054668A" w:rsidRDefault="0054668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474508"/>
      <w:docPartObj>
        <w:docPartGallery w:val="Page Numbers (Bottom of Page)"/>
        <w:docPartUnique/>
      </w:docPartObj>
    </w:sdtPr>
    <w:sdtEndPr>
      <w:rPr>
        <w:noProof/>
      </w:rPr>
    </w:sdtEndPr>
    <w:sdtContent>
      <w:p w14:paraId="02FB4BE7" w14:textId="28C54A5F" w:rsidR="0054668A" w:rsidRDefault="0054668A">
        <w:pPr>
          <w:pStyle w:val="Footer"/>
          <w:jc w:val="right"/>
        </w:pPr>
        <w:r>
          <w:fldChar w:fldCharType="begin"/>
        </w:r>
        <w:r>
          <w:instrText xml:space="preserve"> PAGE   \* MERGEFORMAT </w:instrText>
        </w:r>
        <w:r>
          <w:fldChar w:fldCharType="separate"/>
        </w:r>
        <w:r w:rsidR="002C2E1E">
          <w:rPr>
            <w:noProof/>
          </w:rPr>
          <w:t>iii</w:t>
        </w:r>
        <w:r>
          <w:rPr>
            <w:noProof/>
          </w:rPr>
          <w:fldChar w:fldCharType="end"/>
        </w:r>
      </w:p>
    </w:sdtContent>
  </w:sdt>
  <w:p w14:paraId="7D9B859A" w14:textId="77777777" w:rsidR="0054668A" w:rsidRDefault="0054668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245619"/>
      <w:docPartObj>
        <w:docPartGallery w:val="Page Numbers (Bottom of Page)"/>
        <w:docPartUnique/>
      </w:docPartObj>
    </w:sdtPr>
    <w:sdtEndPr>
      <w:rPr>
        <w:noProof/>
      </w:rPr>
    </w:sdtEndPr>
    <w:sdtContent>
      <w:p w14:paraId="7B5303FE" w14:textId="748FEAE6" w:rsidR="0054668A" w:rsidRDefault="0054668A">
        <w:pPr>
          <w:pStyle w:val="Footer"/>
          <w:jc w:val="right"/>
        </w:pPr>
        <w:r>
          <w:fldChar w:fldCharType="begin"/>
        </w:r>
        <w:r>
          <w:instrText xml:space="preserve"> PAGE   \* MERGEFORMAT </w:instrText>
        </w:r>
        <w:r>
          <w:fldChar w:fldCharType="separate"/>
        </w:r>
        <w:r w:rsidR="002C2E1E">
          <w:rPr>
            <w:noProof/>
          </w:rPr>
          <w:t>2</w:t>
        </w:r>
        <w:r>
          <w:rPr>
            <w:noProof/>
          </w:rPr>
          <w:fldChar w:fldCharType="end"/>
        </w:r>
      </w:p>
    </w:sdtContent>
  </w:sdt>
  <w:p w14:paraId="3ACD308B" w14:textId="77777777" w:rsidR="0054668A" w:rsidRDefault="0054668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233004"/>
      <w:docPartObj>
        <w:docPartGallery w:val="Page Numbers (Bottom of Page)"/>
        <w:docPartUnique/>
      </w:docPartObj>
    </w:sdtPr>
    <w:sdtEndPr>
      <w:rPr>
        <w:noProof/>
      </w:rPr>
    </w:sdtEndPr>
    <w:sdtContent>
      <w:p w14:paraId="6C5BAA6E" w14:textId="63F761CB" w:rsidR="0054668A" w:rsidRDefault="0054668A">
        <w:pPr>
          <w:pStyle w:val="Footer"/>
          <w:jc w:val="right"/>
        </w:pPr>
        <w:r>
          <w:fldChar w:fldCharType="begin"/>
        </w:r>
        <w:r>
          <w:instrText xml:space="preserve"> PAGE   \* MERGEFORMAT </w:instrText>
        </w:r>
        <w:r>
          <w:fldChar w:fldCharType="separate"/>
        </w:r>
        <w:r w:rsidR="002C2E1E">
          <w:rPr>
            <w:noProof/>
          </w:rPr>
          <w:t>11</w:t>
        </w:r>
        <w:r>
          <w:rPr>
            <w:noProof/>
          </w:rPr>
          <w:fldChar w:fldCharType="end"/>
        </w:r>
      </w:p>
    </w:sdtContent>
  </w:sdt>
  <w:p w14:paraId="13A639AC" w14:textId="77777777" w:rsidR="0054668A" w:rsidRDefault="0054668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569162"/>
      <w:docPartObj>
        <w:docPartGallery w:val="Page Numbers (Bottom of Page)"/>
        <w:docPartUnique/>
      </w:docPartObj>
    </w:sdtPr>
    <w:sdtEndPr>
      <w:rPr>
        <w:noProof/>
      </w:rPr>
    </w:sdtEndPr>
    <w:sdtContent>
      <w:p w14:paraId="5A186C48" w14:textId="71FA90EF" w:rsidR="0054668A" w:rsidRDefault="0054668A">
        <w:pPr>
          <w:pStyle w:val="Footer"/>
          <w:jc w:val="right"/>
        </w:pPr>
        <w:r>
          <w:fldChar w:fldCharType="begin"/>
        </w:r>
        <w:r>
          <w:instrText xml:space="preserve"> PAGE   \* MERGEFORMAT </w:instrText>
        </w:r>
        <w:r>
          <w:fldChar w:fldCharType="separate"/>
        </w:r>
        <w:r w:rsidR="002C2E1E">
          <w:rPr>
            <w:noProof/>
          </w:rPr>
          <w:t>13</w:t>
        </w:r>
        <w:r>
          <w:rPr>
            <w:noProof/>
          </w:rPr>
          <w:fldChar w:fldCharType="end"/>
        </w:r>
      </w:p>
    </w:sdtContent>
  </w:sdt>
  <w:p w14:paraId="75FEE04B" w14:textId="77777777" w:rsidR="0054668A" w:rsidRDefault="0054668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091395"/>
      <w:docPartObj>
        <w:docPartGallery w:val="Page Numbers (Bottom of Page)"/>
        <w:docPartUnique/>
      </w:docPartObj>
    </w:sdtPr>
    <w:sdtEndPr>
      <w:rPr>
        <w:noProof/>
      </w:rPr>
    </w:sdtEndPr>
    <w:sdtContent>
      <w:p w14:paraId="021B725A" w14:textId="2496D5F6" w:rsidR="0054668A" w:rsidRDefault="0054668A">
        <w:pPr>
          <w:pStyle w:val="Footer"/>
          <w:jc w:val="right"/>
        </w:pPr>
        <w:r>
          <w:fldChar w:fldCharType="begin"/>
        </w:r>
        <w:r>
          <w:instrText xml:space="preserve"> PAGE   \* MERGEFORMAT </w:instrText>
        </w:r>
        <w:r>
          <w:fldChar w:fldCharType="separate"/>
        </w:r>
        <w:r w:rsidR="002C2E1E">
          <w:rPr>
            <w:noProof/>
          </w:rPr>
          <w:t>36</w:t>
        </w:r>
        <w:r>
          <w:rPr>
            <w:noProof/>
          </w:rPr>
          <w:fldChar w:fldCharType="end"/>
        </w:r>
      </w:p>
    </w:sdtContent>
  </w:sdt>
  <w:p w14:paraId="638AD422" w14:textId="74277A47" w:rsidR="0054668A" w:rsidRPr="001E173B" w:rsidRDefault="0054668A">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1EB62" w14:textId="77777777" w:rsidR="00FC3524" w:rsidRDefault="00FC3524">
      <w:r>
        <w:separator/>
      </w:r>
    </w:p>
  </w:footnote>
  <w:footnote w:type="continuationSeparator" w:id="0">
    <w:p w14:paraId="7D8776B0" w14:textId="77777777" w:rsidR="00FC3524" w:rsidRDefault="00FC3524">
      <w:r>
        <w:continuationSeparator/>
      </w:r>
    </w:p>
  </w:footnote>
  <w:footnote w:id="1">
    <w:p w14:paraId="31529B49" w14:textId="77777777" w:rsidR="0054668A" w:rsidRDefault="0054668A" w:rsidP="003D7BFE">
      <w:pPr>
        <w:pStyle w:val="FootnoteText"/>
      </w:pPr>
      <w:r>
        <w:rPr>
          <w:rStyle w:val="FootnoteReference"/>
          <w:sz w:val="16"/>
          <w:szCs w:val="16"/>
        </w:rPr>
        <w:footnoteRef/>
      </w:r>
      <w:r>
        <w:rPr>
          <w:sz w:val="16"/>
          <w:szCs w:val="16"/>
        </w:rPr>
        <w:t xml:space="preserve"> In a coordinated effort the Council of Chief State School Officers (CCSSO) together with the National Governors Association Center for Best Practices (NGA Center) utilized input from teachers, school administrators, content experts, the general public, state standards and international models to develop a set of standards that outline what students should learn within their K-12 educational career (Common Core State Standards, n.d.).</w:t>
      </w:r>
    </w:p>
  </w:footnote>
  <w:footnote w:id="2">
    <w:p w14:paraId="57D42619" w14:textId="77777777" w:rsidR="0054668A" w:rsidRDefault="0054668A" w:rsidP="00E90455">
      <w:pPr>
        <w:pStyle w:val="FootnoteText"/>
      </w:pPr>
      <w:r w:rsidRPr="00A13241">
        <w:rPr>
          <w:rStyle w:val="FootnoteReference"/>
          <w:sz w:val="16"/>
          <w:szCs w:val="16"/>
        </w:rPr>
        <w:footnoteRef/>
      </w:r>
      <w:r w:rsidRPr="00A13241">
        <w:rPr>
          <w:sz w:val="16"/>
          <w:szCs w:val="16"/>
        </w:rPr>
        <w:t xml:space="preserve"> Donnar, A. &amp; Klar, N. (2000) </w:t>
      </w:r>
      <w:r w:rsidRPr="00A13241">
        <w:rPr>
          <w:i/>
          <w:sz w:val="16"/>
          <w:szCs w:val="16"/>
        </w:rPr>
        <w:t>Design and analysis of cluster randomization trials in health research</w:t>
      </w:r>
      <w:r w:rsidRPr="00A13241">
        <w:rPr>
          <w:sz w:val="16"/>
          <w:szCs w:val="16"/>
        </w:rPr>
        <w:t>. Arnold Publishers, London.</w:t>
      </w:r>
    </w:p>
  </w:footnote>
  <w:footnote w:id="3">
    <w:p w14:paraId="00C66A99" w14:textId="77777777" w:rsidR="0054668A" w:rsidRDefault="0054668A" w:rsidP="00E90455">
      <w:pPr>
        <w:jc w:val="both"/>
      </w:pPr>
      <w:r w:rsidRPr="00AE242A">
        <w:rPr>
          <w:rStyle w:val="FootnoteReference"/>
          <w:sz w:val="16"/>
          <w:szCs w:val="16"/>
        </w:rPr>
        <w:footnoteRef/>
      </w:r>
      <w:r>
        <w:rPr>
          <w:sz w:val="16"/>
          <w:szCs w:val="16"/>
        </w:rPr>
        <w:t xml:space="preserve"> S</w:t>
      </w:r>
      <w:r>
        <w:rPr>
          <w:color w:val="000000"/>
          <w:sz w:val="16"/>
          <w:szCs w:val="16"/>
        </w:rPr>
        <w:t>AS Institute Inc. (2008) Online documentation 9.2</w:t>
      </w:r>
    </w:p>
  </w:footnote>
  <w:footnote w:id="4">
    <w:p w14:paraId="56F41711" w14:textId="77777777" w:rsidR="0054668A" w:rsidRDefault="0054668A" w:rsidP="00E90455">
      <w:pPr>
        <w:pStyle w:val="FootnoteText"/>
      </w:pPr>
      <w:r w:rsidRPr="00A13241">
        <w:rPr>
          <w:rStyle w:val="FootnoteReference"/>
          <w:sz w:val="16"/>
          <w:szCs w:val="16"/>
        </w:rPr>
        <w:footnoteRef/>
      </w:r>
      <w:r w:rsidRPr="00A13241">
        <w:rPr>
          <w:sz w:val="16"/>
          <w:szCs w:val="16"/>
        </w:rPr>
        <w:t xml:space="preserve"> Liang, N. M. &amp; and Zeger, S. L. (1986). </w:t>
      </w:r>
      <w:r w:rsidRPr="00A13241">
        <w:rPr>
          <w:color w:val="000000"/>
          <w:sz w:val="16"/>
          <w:szCs w:val="16"/>
        </w:rPr>
        <w:t>Longitudinal data analysis using generalized linear models.</w:t>
      </w:r>
      <w:r w:rsidRPr="00A13241">
        <w:rPr>
          <w:sz w:val="16"/>
          <w:szCs w:val="16"/>
        </w:rPr>
        <w:t xml:space="preserve"> </w:t>
      </w:r>
      <w:r w:rsidRPr="00A13241">
        <w:rPr>
          <w:i/>
          <w:sz w:val="16"/>
          <w:szCs w:val="16"/>
        </w:rPr>
        <w:t>Biometrika</w:t>
      </w:r>
      <w:r w:rsidRPr="00A13241">
        <w:rPr>
          <w:sz w:val="16"/>
          <w:szCs w:val="16"/>
        </w:rPr>
        <w:t xml:space="preserve">, </w:t>
      </w:r>
      <w:r w:rsidRPr="00A13241">
        <w:rPr>
          <w:i/>
          <w:sz w:val="16"/>
          <w:szCs w:val="16"/>
        </w:rPr>
        <w:t>73</w:t>
      </w:r>
      <w:r w:rsidRPr="00A13241">
        <w:rPr>
          <w:sz w:val="16"/>
          <w:szCs w:val="16"/>
        </w:rPr>
        <w:t>, pp. 13-22.</w:t>
      </w:r>
    </w:p>
  </w:footnote>
  <w:footnote w:id="5">
    <w:p w14:paraId="6D25DCD0" w14:textId="77777777" w:rsidR="0054668A" w:rsidRDefault="0054668A" w:rsidP="00E90455">
      <w:pPr>
        <w:pStyle w:val="FootnoteText"/>
      </w:pPr>
      <w:r w:rsidRPr="00A13241">
        <w:rPr>
          <w:rStyle w:val="FootnoteReference"/>
          <w:sz w:val="16"/>
          <w:szCs w:val="16"/>
        </w:rPr>
        <w:footnoteRef/>
      </w:r>
      <w:r w:rsidRPr="00A13241">
        <w:rPr>
          <w:sz w:val="16"/>
          <w:szCs w:val="16"/>
        </w:rPr>
        <w:t xml:space="preserve"> Hedges, L. V. &amp; Olkin, I. (1985). </w:t>
      </w:r>
      <w:r w:rsidRPr="00A13241">
        <w:rPr>
          <w:i/>
          <w:sz w:val="16"/>
          <w:szCs w:val="16"/>
        </w:rPr>
        <w:t>Statistics methods for meta-analysis</w:t>
      </w:r>
      <w:r w:rsidRPr="00A13241">
        <w:rPr>
          <w:sz w:val="16"/>
          <w:szCs w:val="16"/>
        </w:rPr>
        <w:t>. Academic Press, NY.</w:t>
      </w:r>
    </w:p>
  </w:footnote>
  <w:footnote w:id="6">
    <w:p w14:paraId="491C184F" w14:textId="77777777" w:rsidR="0054668A" w:rsidRPr="001208D7" w:rsidRDefault="0054668A">
      <w:pPr>
        <w:pStyle w:val="FootnoteText"/>
        <w:rPr>
          <w:sz w:val="16"/>
          <w:szCs w:val="16"/>
        </w:rPr>
      </w:pPr>
      <w:r w:rsidRPr="001208D7">
        <w:rPr>
          <w:rStyle w:val="FootnoteReference"/>
          <w:sz w:val="16"/>
          <w:szCs w:val="16"/>
        </w:rPr>
        <w:footnoteRef/>
      </w:r>
      <w:r w:rsidRPr="001208D7">
        <w:rPr>
          <w:sz w:val="16"/>
          <w:szCs w:val="16"/>
        </w:rPr>
        <w:t xml:space="preserve"> Carolyn J. Hill, CJ., et al. (July, 2007). Empirical Benchmarks for Interpreting Effect Sizes in Research.  MDRC Working Papers on Research Methodology, web site: www.mdrc.org</w:t>
      </w:r>
    </w:p>
  </w:footnote>
  <w:footnote w:id="7">
    <w:p w14:paraId="253B1E4B" w14:textId="77777777" w:rsidR="0054668A" w:rsidRDefault="0054668A" w:rsidP="007918AE">
      <w:pPr>
        <w:rPr>
          <w:rFonts w:cs="Adobe Garamond Pro"/>
          <w:color w:val="000000"/>
          <w:sz w:val="16"/>
          <w:szCs w:val="16"/>
        </w:rPr>
      </w:pPr>
      <w:r>
        <w:rPr>
          <w:rStyle w:val="FootnoteReference"/>
        </w:rPr>
        <w:footnoteRef/>
      </w:r>
      <w:r>
        <w:t xml:space="preserve"> </w:t>
      </w:r>
      <w:r w:rsidRPr="005378EA">
        <w:rPr>
          <w:sz w:val="16"/>
          <w:szCs w:val="16"/>
        </w:rPr>
        <w:t xml:space="preserve">Lipsey et al. </w:t>
      </w:r>
      <w:r w:rsidRPr="005378EA">
        <w:rPr>
          <w:rFonts w:cs="Adobe Garamond Pro"/>
          <w:color w:val="000000"/>
          <w:sz w:val="16"/>
          <w:szCs w:val="16"/>
        </w:rPr>
        <w:t xml:space="preserve">(2012). Translating the Statistical Representation of the Effects of Education Interventions into More Readily Interpretable Forms. (NCSER 2013-3000). Washington, DC: National Center for Special Education Research, Institute of Education Sciences, U.S. Department of Education. This report is available on the IES website at </w:t>
      </w:r>
      <w:hyperlink r:id="rId1" w:history="1">
        <w:r w:rsidRPr="001D355B">
          <w:rPr>
            <w:rStyle w:val="Hyperlink"/>
            <w:rFonts w:cs="Adobe Garamond Pro"/>
            <w:sz w:val="16"/>
            <w:szCs w:val="16"/>
          </w:rPr>
          <w:t>http://ies.ed.gov/ncser/</w:t>
        </w:r>
      </w:hyperlink>
      <w:r w:rsidRPr="005378EA">
        <w:rPr>
          <w:rFonts w:cs="Adobe Garamond Pro"/>
          <w:color w:val="000000"/>
          <w:sz w:val="16"/>
          <w:szCs w:val="16"/>
        </w:rPr>
        <w:t>.</w:t>
      </w:r>
      <w:r>
        <w:rPr>
          <w:rFonts w:cs="Adobe Garamond Pro"/>
          <w:color w:val="000000"/>
          <w:sz w:val="16"/>
          <w:szCs w:val="16"/>
        </w:rPr>
        <w:t xml:space="preserve"> </w:t>
      </w:r>
    </w:p>
    <w:p w14:paraId="292E7854" w14:textId="6805DA51" w:rsidR="0054668A" w:rsidRPr="001E173B" w:rsidRDefault="0054668A" w:rsidP="007918AE">
      <w:pPr>
        <w:rPr>
          <w:sz w:val="16"/>
          <w:szCs w:val="16"/>
        </w:rPr>
      </w:pPr>
      <w:r w:rsidRPr="007918AE">
        <w:rPr>
          <w:rFonts w:cs="Adobe Garamond Pro"/>
          <w:color w:val="000000"/>
          <w:sz w:val="16"/>
          <w:szCs w:val="16"/>
        </w:rPr>
        <w:t>Note: Studies were restricted to those using random assignment designs with practice-as-usual control groups and attrition rates no higher than 20% from 1995 or later.  See Table 9.</w:t>
      </w:r>
    </w:p>
    <w:p w14:paraId="40E1BC7F" w14:textId="35FF961C" w:rsidR="0054668A" w:rsidRPr="005378EA" w:rsidRDefault="0054668A" w:rsidP="005378EA">
      <w:pPr>
        <w:pStyle w:val="Footer"/>
        <w:rPr>
          <w:sz w:val="16"/>
          <w:szCs w:val="16"/>
        </w:rPr>
      </w:pPr>
    </w:p>
    <w:p w14:paraId="66271ACE" w14:textId="71605374" w:rsidR="0054668A" w:rsidRDefault="0054668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9146" w14:textId="2F5D65AF" w:rsidR="0054668A" w:rsidRPr="001E173B" w:rsidRDefault="0054668A" w:rsidP="00D80928">
    <w:pPr>
      <w:pStyle w:val="Header"/>
      <w:tabs>
        <w:tab w:val="clear" w:pos="4320"/>
        <w:tab w:val="clear" w:pos="8640"/>
        <w:tab w:val="right" w:pos="-7920"/>
      </w:tabs>
      <w:rPr>
        <w:color w:val="000080"/>
        <w:sz w:val="16"/>
        <w:szCs w:val="16"/>
      </w:rPr>
    </w:pPr>
    <w:r w:rsidRPr="001E173B">
      <w:rPr>
        <w:b/>
        <w:i/>
        <w:color w:val="000080"/>
        <w:sz w:val="16"/>
        <w:szCs w:val="16"/>
      </w:rPr>
      <w:t xml:space="preserve">iLit 2013-15 RCT </w:t>
    </w:r>
    <w:r w:rsidRPr="001E173B">
      <w:rPr>
        <w:b/>
        <w:color w:val="000080"/>
        <w:sz w:val="16"/>
        <w:szCs w:val="16"/>
      </w:rPr>
      <w:tab/>
      <w:t xml:space="preserve">                   </w:t>
    </w:r>
    <w:r w:rsidRPr="001E173B">
      <w:rPr>
        <w:b/>
        <w:color w:val="000080"/>
        <w:sz w:val="16"/>
        <w:szCs w:val="16"/>
      </w:rPr>
      <w:tab/>
      <w:t xml:space="preserve"> </w:t>
    </w:r>
    <w:r>
      <w:rPr>
        <w:b/>
        <w:color w:val="000080"/>
        <w:sz w:val="16"/>
        <w:szCs w:val="16"/>
      </w:rPr>
      <w:tab/>
    </w:r>
    <w:r>
      <w:rPr>
        <w:b/>
        <w:color w:val="000080"/>
        <w:sz w:val="16"/>
        <w:szCs w:val="16"/>
      </w:rPr>
      <w:tab/>
    </w:r>
    <w:r w:rsidRPr="001E173B">
      <w:rPr>
        <w:b/>
        <w:i/>
        <w:color w:val="000080"/>
        <w:sz w:val="16"/>
        <w:szCs w:val="16"/>
      </w:rPr>
      <w:t>Gatti Evaluation Inc.</w:t>
    </w:r>
    <w:r>
      <w:rPr>
        <w:b/>
        <w:i/>
        <w:color w:val="000080"/>
        <w:sz w:val="16"/>
        <w:szCs w:val="16"/>
      </w:rPr>
      <w:tab/>
    </w:r>
    <w:r>
      <w:rPr>
        <w:b/>
        <w:i/>
        <w:color w:val="000080"/>
        <w:sz w:val="16"/>
        <w:szCs w:val="16"/>
      </w:rPr>
      <w:tab/>
    </w:r>
    <w:r>
      <w:rPr>
        <w:b/>
        <w:i/>
        <w:color w:val="000080"/>
        <w:sz w:val="16"/>
        <w:szCs w:val="16"/>
      </w:rPr>
      <w:tab/>
    </w:r>
    <w:r>
      <w:rPr>
        <w:b/>
        <w:i/>
        <w:color w:val="000080"/>
        <w:sz w:val="16"/>
        <w:szCs w:val="16"/>
      </w:rPr>
      <w:tab/>
    </w:r>
    <w:r>
      <w:rPr>
        <w:b/>
        <w:i/>
        <w:color w:val="000080"/>
        <w:sz w:val="16"/>
        <w:szCs w:val="16"/>
      </w:rPr>
      <w:tab/>
      <w:t xml:space="preserve">     </w:t>
    </w:r>
    <w:r w:rsidRPr="001E173B">
      <w:rPr>
        <w:b/>
        <w:i/>
        <w:color w:val="000080"/>
        <w:sz w:val="16"/>
        <w:szCs w:val="16"/>
      </w:rPr>
      <w:t>2-</w:t>
    </w:r>
    <w:r>
      <w:rPr>
        <w:b/>
        <w:i/>
        <w:color w:val="000080"/>
        <w:sz w:val="16"/>
        <w:szCs w:val="16"/>
      </w:rPr>
      <w:t>11</w:t>
    </w:r>
    <w:r w:rsidRPr="001E173B">
      <w:rPr>
        <w:b/>
        <w:i/>
        <w:color w:val="000080"/>
        <w:sz w:val="16"/>
        <w:szCs w:val="16"/>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801"/>
    <w:multiLevelType w:val="hybridMultilevel"/>
    <w:tmpl w:val="CDB07AD0"/>
    <w:lvl w:ilvl="0" w:tplc="DB083CE0">
      <w:start w:val="16"/>
      <w:numFmt w:val="bullet"/>
      <w:lvlText w:val=""/>
      <w:lvlJc w:val="left"/>
      <w:pPr>
        <w:tabs>
          <w:tab w:val="num" w:pos="1620"/>
        </w:tabs>
        <w:ind w:left="1620" w:hanging="54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1702AC"/>
    <w:multiLevelType w:val="hybridMultilevel"/>
    <w:tmpl w:val="8CF2AB30"/>
    <w:lvl w:ilvl="0" w:tplc="A29A5C70">
      <w:start w:val="7"/>
      <w:numFmt w:val="decimal"/>
      <w:lvlText w:val="%1)"/>
      <w:lvlJc w:val="left"/>
      <w:pPr>
        <w:tabs>
          <w:tab w:val="num" w:pos="0"/>
        </w:tabs>
        <w:ind w:hanging="72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 w15:restartNumberingAfterBreak="0">
    <w:nsid w:val="09DB4499"/>
    <w:multiLevelType w:val="hybridMultilevel"/>
    <w:tmpl w:val="C3A88E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C26ECE"/>
    <w:multiLevelType w:val="hybridMultilevel"/>
    <w:tmpl w:val="A830A1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1425C5"/>
    <w:multiLevelType w:val="hybridMultilevel"/>
    <w:tmpl w:val="9DAAED12"/>
    <w:lvl w:ilvl="0" w:tplc="FD22AB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6421B26"/>
    <w:multiLevelType w:val="hybridMultilevel"/>
    <w:tmpl w:val="C5CA8F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90801D6"/>
    <w:multiLevelType w:val="hybridMultilevel"/>
    <w:tmpl w:val="680ADD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BB659F3"/>
    <w:multiLevelType w:val="multilevel"/>
    <w:tmpl w:val="264A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4835A6"/>
    <w:multiLevelType w:val="hybridMultilevel"/>
    <w:tmpl w:val="B3D8EC78"/>
    <w:lvl w:ilvl="0" w:tplc="4698C3A2">
      <w:start w:val="1"/>
      <w:numFmt w:val="decimal"/>
      <w:lvlText w:val="%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1D7958B2"/>
    <w:multiLevelType w:val="hybridMultilevel"/>
    <w:tmpl w:val="D752E192"/>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24DF0"/>
    <w:multiLevelType w:val="hybridMultilevel"/>
    <w:tmpl w:val="3162C302"/>
    <w:lvl w:ilvl="0" w:tplc="91E809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D75B1"/>
    <w:multiLevelType w:val="hybridMultilevel"/>
    <w:tmpl w:val="2EF61A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872686A"/>
    <w:multiLevelType w:val="hybridMultilevel"/>
    <w:tmpl w:val="33BE57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A792319"/>
    <w:multiLevelType w:val="hybridMultilevel"/>
    <w:tmpl w:val="78E425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C590F2B"/>
    <w:multiLevelType w:val="hybridMultilevel"/>
    <w:tmpl w:val="3DA42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F390C"/>
    <w:multiLevelType w:val="hybridMultilevel"/>
    <w:tmpl w:val="ACA83866"/>
    <w:lvl w:ilvl="0" w:tplc="6C206C2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1246F1D"/>
    <w:multiLevelType w:val="hybridMultilevel"/>
    <w:tmpl w:val="A95E0B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12E7144"/>
    <w:multiLevelType w:val="hybridMultilevel"/>
    <w:tmpl w:val="5582DB02"/>
    <w:lvl w:ilvl="0" w:tplc="DE063AA0">
      <w:start w:val="4"/>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3A57F96"/>
    <w:multiLevelType w:val="hybridMultilevel"/>
    <w:tmpl w:val="C17434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47E74E8"/>
    <w:multiLevelType w:val="hybridMultilevel"/>
    <w:tmpl w:val="236666E6"/>
    <w:lvl w:ilvl="0" w:tplc="18028A8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59D0D40"/>
    <w:multiLevelType w:val="hybridMultilevel"/>
    <w:tmpl w:val="3B9063B4"/>
    <w:lvl w:ilvl="0" w:tplc="81FE5A58">
      <w:start w:val="4"/>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C759B1"/>
    <w:multiLevelType w:val="hybridMultilevel"/>
    <w:tmpl w:val="D28283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D6E687B"/>
    <w:multiLevelType w:val="hybridMultilevel"/>
    <w:tmpl w:val="54801B2C"/>
    <w:lvl w:ilvl="0" w:tplc="41722A9E">
      <w:start w:val="4"/>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E2840B4"/>
    <w:multiLevelType w:val="hybridMultilevel"/>
    <w:tmpl w:val="5C84867E"/>
    <w:lvl w:ilvl="0" w:tplc="6330B3E2">
      <w:start w:val="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314152"/>
    <w:multiLevelType w:val="hybridMultilevel"/>
    <w:tmpl w:val="EFFC50E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41CB4860"/>
    <w:multiLevelType w:val="hybridMultilevel"/>
    <w:tmpl w:val="94FE7754"/>
    <w:lvl w:ilvl="0" w:tplc="C27476E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47A3C"/>
    <w:multiLevelType w:val="hybridMultilevel"/>
    <w:tmpl w:val="4EC8C6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8250391"/>
    <w:multiLevelType w:val="hybridMultilevel"/>
    <w:tmpl w:val="58A4F3FA"/>
    <w:lvl w:ilvl="0" w:tplc="FF46BB5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83E3472"/>
    <w:multiLevelType w:val="hybridMultilevel"/>
    <w:tmpl w:val="0966C8B4"/>
    <w:lvl w:ilvl="0" w:tplc="78A49378">
      <w:start w:val="12"/>
      <w:numFmt w:val="decimal"/>
      <w:lvlText w:val="%1.)"/>
      <w:lvlJc w:val="left"/>
      <w:pPr>
        <w:tabs>
          <w:tab w:val="num" w:pos="1095"/>
        </w:tabs>
        <w:ind w:left="1095" w:hanging="37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4AB2540B"/>
    <w:multiLevelType w:val="hybridMultilevel"/>
    <w:tmpl w:val="5756F57C"/>
    <w:lvl w:ilvl="0" w:tplc="0EFC171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4AC94074"/>
    <w:multiLevelType w:val="hybridMultilevel"/>
    <w:tmpl w:val="4726DAA0"/>
    <w:lvl w:ilvl="0" w:tplc="1606466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4BD9782C"/>
    <w:multiLevelType w:val="hybridMultilevel"/>
    <w:tmpl w:val="001A5794"/>
    <w:lvl w:ilvl="0" w:tplc="2A9AB5F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4BDC0524"/>
    <w:multiLevelType w:val="hybridMultilevel"/>
    <w:tmpl w:val="6D2CC8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4656EE0"/>
    <w:multiLevelType w:val="hybridMultilevel"/>
    <w:tmpl w:val="E29E654C"/>
    <w:lvl w:ilvl="0" w:tplc="61E87318">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5033A6"/>
    <w:multiLevelType w:val="hybridMultilevel"/>
    <w:tmpl w:val="E902AE2C"/>
    <w:lvl w:ilvl="0" w:tplc="9D08A99A">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590E3BB6"/>
    <w:multiLevelType w:val="hybridMultilevel"/>
    <w:tmpl w:val="21C6E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CA15EB"/>
    <w:multiLevelType w:val="hybridMultilevel"/>
    <w:tmpl w:val="2CCAD0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E2E43B5"/>
    <w:multiLevelType w:val="hybridMultilevel"/>
    <w:tmpl w:val="1FD0C9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42E0BB3"/>
    <w:multiLevelType w:val="hybridMultilevel"/>
    <w:tmpl w:val="86668A34"/>
    <w:lvl w:ilvl="0" w:tplc="28825B6A">
      <w:start w:val="6"/>
      <w:numFmt w:val="decimal"/>
      <w:lvlText w:val="%1)"/>
      <w:lvlJc w:val="left"/>
      <w:pPr>
        <w:tabs>
          <w:tab w:val="num" w:pos="0"/>
        </w:tabs>
        <w:ind w:hanging="72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9" w15:restartNumberingAfterBreak="0">
    <w:nsid w:val="683B63AC"/>
    <w:multiLevelType w:val="hybridMultilevel"/>
    <w:tmpl w:val="8C5ABF8A"/>
    <w:lvl w:ilvl="0" w:tplc="21446F26">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E1FD7"/>
    <w:multiLevelType w:val="hybridMultilevel"/>
    <w:tmpl w:val="E416E5C6"/>
    <w:lvl w:ilvl="0" w:tplc="D40A15FC">
      <w:start w:val="4"/>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CD16877"/>
    <w:multiLevelType w:val="hybridMultilevel"/>
    <w:tmpl w:val="14E012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E9401BD"/>
    <w:multiLevelType w:val="hybridMultilevel"/>
    <w:tmpl w:val="D5501A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4EC5D0E"/>
    <w:multiLevelType w:val="hybridMultilevel"/>
    <w:tmpl w:val="D638CEDA"/>
    <w:lvl w:ilvl="0" w:tplc="0666FA82">
      <w:start w:val="1"/>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F6361"/>
    <w:multiLevelType w:val="hybridMultilevel"/>
    <w:tmpl w:val="57D01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33"/>
  </w:num>
  <w:num w:numId="4">
    <w:abstractNumId w:val="29"/>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0"/>
  </w:num>
  <w:num w:numId="10">
    <w:abstractNumId w:val="14"/>
  </w:num>
  <w:num w:numId="11">
    <w:abstractNumId w:val="44"/>
  </w:num>
  <w:num w:numId="12">
    <w:abstractNumId w:val="35"/>
  </w:num>
  <w:num w:numId="13">
    <w:abstractNumId w:val="24"/>
  </w:num>
  <w:num w:numId="14">
    <w:abstractNumId w:val="34"/>
  </w:num>
  <w:num w:numId="15">
    <w:abstractNumId w:val="9"/>
  </w:num>
  <w:num w:numId="16">
    <w:abstractNumId w:val="4"/>
  </w:num>
  <w:num w:numId="17">
    <w:abstractNumId w:val="15"/>
  </w:num>
  <w:num w:numId="18">
    <w:abstractNumId w:val="28"/>
  </w:num>
  <w:num w:numId="19">
    <w:abstractNumId w:val="1"/>
  </w:num>
  <w:num w:numId="20">
    <w:abstractNumId w:val="38"/>
  </w:num>
  <w:num w:numId="21">
    <w:abstractNumId w:val="7"/>
  </w:num>
  <w:num w:numId="22">
    <w:abstractNumId w:val="19"/>
  </w:num>
  <w:num w:numId="23">
    <w:abstractNumId w:val="27"/>
  </w:num>
  <w:num w:numId="24">
    <w:abstractNumId w:val="30"/>
  </w:num>
  <w:num w:numId="25">
    <w:abstractNumId w:val="0"/>
  </w:num>
  <w:num w:numId="26">
    <w:abstractNumId w:val="13"/>
  </w:num>
  <w:num w:numId="27">
    <w:abstractNumId w:val="5"/>
  </w:num>
  <w:num w:numId="28">
    <w:abstractNumId w:val="31"/>
  </w:num>
  <w:num w:numId="29">
    <w:abstractNumId w:val="12"/>
  </w:num>
  <w:num w:numId="30">
    <w:abstractNumId w:val="11"/>
  </w:num>
  <w:num w:numId="31">
    <w:abstractNumId w:val="21"/>
  </w:num>
  <w:num w:numId="32">
    <w:abstractNumId w:val="41"/>
  </w:num>
  <w:num w:numId="33">
    <w:abstractNumId w:val="16"/>
  </w:num>
  <w:num w:numId="34">
    <w:abstractNumId w:val="3"/>
  </w:num>
  <w:num w:numId="35">
    <w:abstractNumId w:val="6"/>
  </w:num>
  <w:num w:numId="36">
    <w:abstractNumId w:val="42"/>
  </w:num>
  <w:num w:numId="37">
    <w:abstractNumId w:val="2"/>
  </w:num>
  <w:num w:numId="38">
    <w:abstractNumId w:val="32"/>
  </w:num>
  <w:num w:numId="39">
    <w:abstractNumId w:val="36"/>
  </w:num>
  <w:num w:numId="40">
    <w:abstractNumId w:val="23"/>
  </w:num>
  <w:num w:numId="41">
    <w:abstractNumId w:val="37"/>
  </w:num>
  <w:num w:numId="42">
    <w:abstractNumId w:val="26"/>
  </w:num>
  <w:num w:numId="43">
    <w:abstractNumId w:val="43"/>
  </w:num>
  <w:num w:numId="44">
    <w:abstractNumId w:val="39"/>
  </w:num>
  <w:num w:numId="45">
    <w:abstractNumId w:val="25"/>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F9"/>
    <w:rsid w:val="000009F9"/>
    <w:rsid w:val="0000161A"/>
    <w:rsid w:val="00001F81"/>
    <w:rsid w:val="00001FB3"/>
    <w:rsid w:val="00002198"/>
    <w:rsid w:val="000029F2"/>
    <w:rsid w:val="00002BE8"/>
    <w:rsid w:val="000037B3"/>
    <w:rsid w:val="00003A5A"/>
    <w:rsid w:val="00003F74"/>
    <w:rsid w:val="00004CDF"/>
    <w:rsid w:val="00004F09"/>
    <w:rsid w:val="000058FE"/>
    <w:rsid w:val="00006A80"/>
    <w:rsid w:val="00006AFD"/>
    <w:rsid w:val="00006E61"/>
    <w:rsid w:val="00007791"/>
    <w:rsid w:val="00007948"/>
    <w:rsid w:val="00007ADF"/>
    <w:rsid w:val="000108B5"/>
    <w:rsid w:val="000117D0"/>
    <w:rsid w:val="0001195C"/>
    <w:rsid w:val="00011D9A"/>
    <w:rsid w:val="0001217D"/>
    <w:rsid w:val="000125C3"/>
    <w:rsid w:val="00012B30"/>
    <w:rsid w:val="000130C9"/>
    <w:rsid w:val="00013B6F"/>
    <w:rsid w:val="000143B9"/>
    <w:rsid w:val="00014783"/>
    <w:rsid w:val="00014A7A"/>
    <w:rsid w:val="00014F56"/>
    <w:rsid w:val="00015338"/>
    <w:rsid w:val="00015380"/>
    <w:rsid w:val="00015833"/>
    <w:rsid w:val="00016428"/>
    <w:rsid w:val="00016AE1"/>
    <w:rsid w:val="00016CF7"/>
    <w:rsid w:val="000176AD"/>
    <w:rsid w:val="00017C83"/>
    <w:rsid w:val="000207DD"/>
    <w:rsid w:val="00020C86"/>
    <w:rsid w:val="00020FD3"/>
    <w:rsid w:val="000212CB"/>
    <w:rsid w:val="000218D7"/>
    <w:rsid w:val="00021EF3"/>
    <w:rsid w:val="00022090"/>
    <w:rsid w:val="00022529"/>
    <w:rsid w:val="00022664"/>
    <w:rsid w:val="000233A2"/>
    <w:rsid w:val="00023C5A"/>
    <w:rsid w:val="000241EF"/>
    <w:rsid w:val="0002552D"/>
    <w:rsid w:val="00025789"/>
    <w:rsid w:val="00025BB0"/>
    <w:rsid w:val="000265D3"/>
    <w:rsid w:val="00026F12"/>
    <w:rsid w:val="00027E22"/>
    <w:rsid w:val="00027FF1"/>
    <w:rsid w:val="000303B0"/>
    <w:rsid w:val="000303E2"/>
    <w:rsid w:val="00030E2E"/>
    <w:rsid w:val="000315A7"/>
    <w:rsid w:val="00031914"/>
    <w:rsid w:val="00031B2D"/>
    <w:rsid w:val="00031EDA"/>
    <w:rsid w:val="00032CB6"/>
    <w:rsid w:val="00032EA1"/>
    <w:rsid w:val="000332D2"/>
    <w:rsid w:val="00034C19"/>
    <w:rsid w:val="0003652A"/>
    <w:rsid w:val="00036C2C"/>
    <w:rsid w:val="0003715A"/>
    <w:rsid w:val="00037165"/>
    <w:rsid w:val="0003747D"/>
    <w:rsid w:val="00037943"/>
    <w:rsid w:val="00037EBC"/>
    <w:rsid w:val="00037F83"/>
    <w:rsid w:val="00040299"/>
    <w:rsid w:val="0004055C"/>
    <w:rsid w:val="00040AB7"/>
    <w:rsid w:val="00040CB5"/>
    <w:rsid w:val="000419E3"/>
    <w:rsid w:val="00041E7C"/>
    <w:rsid w:val="00042C9C"/>
    <w:rsid w:val="000431C9"/>
    <w:rsid w:val="00043338"/>
    <w:rsid w:val="000433C7"/>
    <w:rsid w:val="000433ED"/>
    <w:rsid w:val="00043AF8"/>
    <w:rsid w:val="00043B02"/>
    <w:rsid w:val="00044198"/>
    <w:rsid w:val="0004497C"/>
    <w:rsid w:val="00044EDB"/>
    <w:rsid w:val="00045B64"/>
    <w:rsid w:val="00046AA2"/>
    <w:rsid w:val="00046B33"/>
    <w:rsid w:val="00046BB6"/>
    <w:rsid w:val="00046BF6"/>
    <w:rsid w:val="00047457"/>
    <w:rsid w:val="00047864"/>
    <w:rsid w:val="00047BEB"/>
    <w:rsid w:val="00047E5C"/>
    <w:rsid w:val="00050582"/>
    <w:rsid w:val="000509CC"/>
    <w:rsid w:val="00050AAF"/>
    <w:rsid w:val="00050AF9"/>
    <w:rsid w:val="00050BF4"/>
    <w:rsid w:val="00051D29"/>
    <w:rsid w:val="00051DF8"/>
    <w:rsid w:val="000537B6"/>
    <w:rsid w:val="000539C9"/>
    <w:rsid w:val="00053CED"/>
    <w:rsid w:val="00055024"/>
    <w:rsid w:val="00055322"/>
    <w:rsid w:val="00055A1F"/>
    <w:rsid w:val="000563DF"/>
    <w:rsid w:val="000565B9"/>
    <w:rsid w:val="0005667D"/>
    <w:rsid w:val="00057858"/>
    <w:rsid w:val="00057F2B"/>
    <w:rsid w:val="00060F0C"/>
    <w:rsid w:val="000612EE"/>
    <w:rsid w:val="000613A6"/>
    <w:rsid w:val="00061DA5"/>
    <w:rsid w:val="00062252"/>
    <w:rsid w:val="000628D9"/>
    <w:rsid w:val="00063295"/>
    <w:rsid w:val="00063AC7"/>
    <w:rsid w:val="00063E5D"/>
    <w:rsid w:val="0006456B"/>
    <w:rsid w:val="000647EB"/>
    <w:rsid w:val="00064BE6"/>
    <w:rsid w:val="00065443"/>
    <w:rsid w:val="000654C8"/>
    <w:rsid w:val="00066656"/>
    <w:rsid w:val="000668CA"/>
    <w:rsid w:val="0006693D"/>
    <w:rsid w:val="00066C7B"/>
    <w:rsid w:val="00066D5E"/>
    <w:rsid w:val="00067082"/>
    <w:rsid w:val="000676A9"/>
    <w:rsid w:val="00070712"/>
    <w:rsid w:val="0007092A"/>
    <w:rsid w:val="00070BBB"/>
    <w:rsid w:val="00070C6E"/>
    <w:rsid w:val="00070D8A"/>
    <w:rsid w:val="00070D92"/>
    <w:rsid w:val="000711D3"/>
    <w:rsid w:val="00071431"/>
    <w:rsid w:val="00071852"/>
    <w:rsid w:val="0007198D"/>
    <w:rsid w:val="00071EC3"/>
    <w:rsid w:val="000720DD"/>
    <w:rsid w:val="0007295C"/>
    <w:rsid w:val="00072A52"/>
    <w:rsid w:val="00073301"/>
    <w:rsid w:val="0007330B"/>
    <w:rsid w:val="00073388"/>
    <w:rsid w:val="0007371C"/>
    <w:rsid w:val="00073BCB"/>
    <w:rsid w:val="00073F64"/>
    <w:rsid w:val="00074183"/>
    <w:rsid w:val="00075F86"/>
    <w:rsid w:val="000761EB"/>
    <w:rsid w:val="00076655"/>
    <w:rsid w:val="0007695B"/>
    <w:rsid w:val="00077102"/>
    <w:rsid w:val="00077802"/>
    <w:rsid w:val="0008012C"/>
    <w:rsid w:val="000804C5"/>
    <w:rsid w:val="00080FB5"/>
    <w:rsid w:val="00081467"/>
    <w:rsid w:val="000816C8"/>
    <w:rsid w:val="00081DF9"/>
    <w:rsid w:val="000825A8"/>
    <w:rsid w:val="00082A74"/>
    <w:rsid w:val="00082BAA"/>
    <w:rsid w:val="00083161"/>
    <w:rsid w:val="00083521"/>
    <w:rsid w:val="00083D46"/>
    <w:rsid w:val="00083EF1"/>
    <w:rsid w:val="00084024"/>
    <w:rsid w:val="000841FE"/>
    <w:rsid w:val="00084350"/>
    <w:rsid w:val="00085273"/>
    <w:rsid w:val="000860FB"/>
    <w:rsid w:val="00086631"/>
    <w:rsid w:val="00087208"/>
    <w:rsid w:val="000873D1"/>
    <w:rsid w:val="00087B35"/>
    <w:rsid w:val="0009006A"/>
    <w:rsid w:val="0009072A"/>
    <w:rsid w:val="000909BF"/>
    <w:rsid w:val="00090AD2"/>
    <w:rsid w:val="00090BB2"/>
    <w:rsid w:val="00091750"/>
    <w:rsid w:val="000922BA"/>
    <w:rsid w:val="0009237D"/>
    <w:rsid w:val="00092A30"/>
    <w:rsid w:val="00092CD1"/>
    <w:rsid w:val="00093250"/>
    <w:rsid w:val="00093361"/>
    <w:rsid w:val="00094079"/>
    <w:rsid w:val="000946DA"/>
    <w:rsid w:val="0009471C"/>
    <w:rsid w:val="00094D56"/>
    <w:rsid w:val="000964A0"/>
    <w:rsid w:val="0009651D"/>
    <w:rsid w:val="000975A8"/>
    <w:rsid w:val="00097603"/>
    <w:rsid w:val="0009776D"/>
    <w:rsid w:val="00097843"/>
    <w:rsid w:val="000A1A7F"/>
    <w:rsid w:val="000A1C65"/>
    <w:rsid w:val="000A250A"/>
    <w:rsid w:val="000A2909"/>
    <w:rsid w:val="000A3556"/>
    <w:rsid w:val="000A3762"/>
    <w:rsid w:val="000A3A12"/>
    <w:rsid w:val="000A4413"/>
    <w:rsid w:val="000A4498"/>
    <w:rsid w:val="000A4654"/>
    <w:rsid w:val="000A4668"/>
    <w:rsid w:val="000A50C6"/>
    <w:rsid w:val="000A5314"/>
    <w:rsid w:val="000A6B0F"/>
    <w:rsid w:val="000A6FA2"/>
    <w:rsid w:val="000A7440"/>
    <w:rsid w:val="000A7646"/>
    <w:rsid w:val="000A7D73"/>
    <w:rsid w:val="000A7F09"/>
    <w:rsid w:val="000B024E"/>
    <w:rsid w:val="000B0D83"/>
    <w:rsid w:val="000B17E4"/>
    <w:rsid w:val="000B1A41"/>
    <w:rsid w:val="000B1D6C"/>
    <w:rsid w:val="000B379C"/>
    <w:rsid w:val="000B4007"/>
    <w:rsid w:val="000B5D15"/>
    <w:rsid w:val="000B5D86"/>
    <w:rsid w:val="000B65C2"/>
    <w:rsid w:val="000B6CE1"/>
    <w:rsid w:val="000B6DCC"/>
    <w:rsid w:val="000B71D1"/>
    <w:rsid w:val="000B7510"/>
    <w:rsid w:val="000B7BE5"/>
    <w:rsid w:val="000C0257"/>
    <w:rsid w:val="000C0263"/>
    <w:rsid w:val="000C026E"/>
    <w:rsid w:val="000C0519"/>
    <w:rsid w:val="000C1180"/>
    <w:rsid w:val="000C1890"/>
    <w:rsid w:val="000C21A3"/>
    <w:rsid w:val="000C2250"/>
    <w:rsid w:val="000C26F0"/>
    <w:rsid w:val="000C28FB"/>
    <w:rsid w:val="000C29BB"/>
    <w:rsid w:val="000C2BE4"/>
    <w:rsid w:val="000C30C8"/>
    <w:rsid w:val="000C3349"/>
    <w:rsid w:val="000C502B"/>
    <w:rsid w:val="000C5372"/>
    <w:rsid w:val="000C57A5"/>
    <w:rsid w:val="000C5846"/>
    <w:rsid w:val="000C646A"/>
    <w:rsid w:val="000C6489"/>
    <w:rsid w:val="000C6F9C"/>
    <w:rsid w:val="000C7723"/>
    <w:rsid w:val="000C7AAD"/>
    <w:rsid w:val="000D109D"/>
    <w:rsid w:val="000D10E3"/>
    <w:rsid w:val="000D2556"/>
    <w:rsid w:val="000D257E"/>
    <w:rsid w:val="000D3AC2"/>
    <w:rsid w:val="000D4335"/>
    <w:rsid w:val="000D4378"/>
    <w:rsid w:val="000D4481"/>
    <w:rsid w:val="000D44F4"/>
    <w:rsid w:val="000D4568"/>
    <w:rsid w:val="000D532E"/>
    <w:rsid w:val="000D5661"/>
    <w:rsid w:val="000D64AD"/>
    <w:rsid w:val="000D665C"/>
    <w:rsid w:val="000D6A02"/>
    <w:rsid w:val="000D6C81"/>
    <w:rsid w:val="000D7286"/>
    <w:rsid w:val="000E0268"/>
    <w:rsid w:val="000E064C"/>
    <w:rsid w:val="000E0F64"/>
    <w:rsid w:val="000E1636"/>
    <w:rsid w:val="000E184D"/>
    <w:rsid w:val="000E1C0D"/>
    <w:rsid w:val="000E1C92"/>
    <w:rsid w:val="000E2095"/>
    <w:rsid w:val="000E28CA"/>
    <w:rsid w:val="000E28D3"/>
    <w:rsid w:val="000E32EC"/>
    <w:rsid w:val="000E419A"/>
    <w:rsid w:val="000E434A"/>
    <w:rsid w:val="000E45F3"/>
    <w:rsid w:val="000E5322"/>
    <w:rsid w:val="000E5E17"/>
    <w:rsid w:val="000E6BBC"/>
    <w:rsid w:val="000E7B71"/>
    <w:rsid w:val="000E7C85"/>
    <w:rsid w:val="000F01C5"/>
    <w:rsid w:val="000F0545"/>
    <w:rsid w:val="000F07F9"/>
    <w:rsid w:val="000F0865"/>
    <w:rsid w:val="000F0D51"/>
    <w:rsid w:val="000F1898"/>
    <w:rsid w:val="000F1D21"/>
    <w:rsid w:val="000F22D8"/>
    <w:rsid w:val="000F2490"/>
    <w:rsid w:val="000F250C"/>
    <w:rsid w:val="000F259F"/>
    <w:rsid w:val="000F27C4"/>
    <w:rsid w:val="000F2D6B"/>
    <w:rsid w:val="000F3A5D"/>
    <w:rsid w:val="000F4CF3"/>
    <w:rsid w:val="000F4DDA"/>
    <w:rsid w:val="000F548A"/>
    <w:rsid w:val="000F5949"/>
    <w:rsid w:val="000F5D0D"/>
    <w:rsid w:val="000F790E"/>
    <w:rsid w:val="000F7F57"/>
    <w:rsid w:val="000F7F5E"/>
    <w:rsid w:val="0010008A"/>
    <w:rsid w:val="001004A9"/>
    <w:rsid w:val="001015F6"/>
    <w:rsid w:val="001025A5"/>
    <w:rsid w:val="001027DC"/>
    <w:rsid w:val="00103C24"/>
    <w:rsid w:val="00103C2C"/>
    <w:rsid w:val="00105169"/>
    <w:rsid w:val="001054F1"/>
    <w:rsid w:val="00105CBC"/>
    <w:rsid w:val="00105F10"/>
    <w:rsid w:val="00105F9E"/>
    <w:rsid w:val="001064E4"/>
    <w:rsid w:val="001064E6"/>
    <w:rsid w:val="00106BC3"/>
    <w:rsid w:val="001076CF"/>
    <w:rsid w:val="00107F90"/>
    <w:rsid w:val="00110751"/>
    <w:rsid w:val="00110814"/>
    <w:rsid w:val="00110867"/>
    <w:rsid w:val="00110F99"/>
    <w:rsid w:val="00111036"/>
    <w:rsid w:val="00111056"/>
    <w:rsid w:val="001111F9"/>
    <w:rsid w:val="001126FF"/>
    <w:rsid w:val="00112D7B"/>
    <w:rsid w:val="001130A3"/>
    <w:rsid w:val="00113441"/>
    <w:rsid w:val="00113835"/>
    <w:rsid w:val="00114053"/>
    <w:rsid w:val="001145F5"/>
    <w:rsid w:val="00114702"/>
    <w:rsid w:val="00115229"/>
    <w:rsid w:val="00115C37"/>
    <w:rsid w:val="00115E45"/>
    <w:rsid w:val="00115F42"/>
    <w:rsid w:val="0011604B"/>
    <w:rsid w:val="00116347"/>
    <w:rsid w:val="00117AA3"/>
    <w:rsid w:val="001200E2"/>
    <w:rsid w:val="001208D7"/>
    <w:rsid w:val="0012163A"/>
    <w:rsid w:val="00121C5A"/>
    <w:rsid w:val="00122605"/>
    <w:rsid w:val="00122BAD"/>
    <w:rsid w:val="001231CA"/>
    <w:rsid w:val="001231CB"/>
    <w:rsid w:val="00123812"/>
    <w:rsid w:val="0012396A"/>
    <w:rsid w:val="00123A83"/>
    <w:rsid w:val="00123DA9"/>
    <w:rsid w:val="00123DDD"/>
    <w:rsid w:val="00124343"/>
    <w:rsid w:val="001248A4"/>
    <w:rsid w:val="00124A0A"/>
    <w:rsid w:val="00124F4B"/>
    <w:rsid w:val="0012673B"/>
    <w:rsid w:val="001267E1"/>
    <w:rsid w:val="00127049"/>
    <w:rsid w:val="00127ACE"/>
    <w:rsid w:val="00130B72"/>
    <w:rsid w:val="00130E04"/>
    <w:rsid w:val="00131164"/>
    <w:rsid w:val="0013168C"/>
    <w:rsid w:val="00131872"/>
    <w:rsid w:val="00131C18"/>
    <w:rsid w:val="00131C84"/>
    <w:rsid w:val="00131F1D"/>
    <w:rsid w:val="00132802"/>
    <w:rsid w:val="00132881"/>
    <w:rsid w:val="00133206"/>
    <w:rsid w:val="0013357F"/>
    <w:rsid w:val="00134419"/>
    <w:rsid w:val="00134850"/>
    <w:rsid w:val="00134926"/>
    <w:rsid w:val="001350C4"/>
    <w:rsid w:val="0013515D"/>
    <w:rsid w:val="00135BDC"/>
    <w:rsid w:val="00135C67"/>
    <w:rsid w:val="00136708"/>
    <w:rsid w:val="00136B8A"/>
    <w:rsid w:val="00137320"/>
    <w:rsid w:val="001374DA"/>
    <w:rsid w:val="00137505"/>
    <w:rsid w:val="00137836"/>
    <w:rsid w:val="00137C56"/>
    <w:rsid w:val="00137F2C"/>
    <w:rsid w:val="00140075"/>
    <w:rsid w:val="00140830"/>
    <w:rsid w:val="00140AE5"/>
    <w:rsid w:val="00140EF9"/>
    <w:rsid w:val="00140F51"/>
    <w:rsid w:val="00141E03"/>
    <w:rsid w:val="0014211A"/>
    <w:rsid w:val="0014248F"/>
    <w:rsid w:val="001424B6"/>
    <w:rsid w:val="0014319C"/>
    <w:rsid w:val="00143265"/>
    <w:rsid w:val="00143CFA"/>
    <w:rsid w:val="00143D0D"/>
    <w:rsid w:val="001441CA"/>
    <w:rsid w:val="00144507"/>
    <w:rsid w:val="00144848"/>
    <w:rsid w:val="001452DA"/>
    <w:rsid w:val="00145619"/>
    <w:rsid w:val="0014768D"/>
    <w:rsid w:val="00150292"/>
    <w:rsid w:val="0015030B"/>
    <w:rsid w:val="0015075D"/>
    <w:rsid w:val="0015085A"/>
    <w:rsid w:val="00150ABE"/>
    <w:rsid w:val="00150C37"/>
    <w:rsid w:val="00151380"/>
    <w:rsid w:val="00151A19"/>
    <w:rsid w:val="00151E07"/>
    <w:rsid w:val="00152395"/>
    <w:rsid w:val="00152A29"/>
    <w:rsid w:val="00153190"/>
    <w:rsid w:val="001533C5"/>
    <w:rsid w:val="00153D4C"/>
    <w:rsid w:val="001546A7"/>
    <w:rsid w:val="001549F5"/>
    <w:rsid w:val="001557C1"/>
    <w:rsid w:val="001562B0"/>
    <w:rsid w:val="00156865"/>
    <w:rsid w:val="00156A5C"/>
    <w:rsid w:val="00157A40"/>
    <w:rsid w:val="00160A40"/>
    <w:rsid w:val="00161CF0"/>
    <w:rsid w:val="00161F01"/>
    <w:rsid w:val="0016359B"/>
    <w:rsid w:val="0016458F"/>
    <w:rsid w:val="001647DD"/>
    <w:rsid w:val="0016510B"/>
    <w:rsid w:val="001654B9"/>
    <w:rsid w:val="00165DDC"/>
    <w:rsid w:val="00166317"/>
    <w:rsid w:val="00166829"/>
    <w:rsid w:val="0016690C"/>
    <w:rsid w:val="00170CF3"/>
    <w:rsid w:val="00170D7B"/>
    <w:rsid w:val="00170E37"/>
    <w:rsid w:val="0017141D"/>
    <w:rsid w:val="00171F25"/>
    <w:rsid w:val="00171FFD"/>
    <w:rsid w:val="001731C3"/>
    <w:rsid w:val="00175243"/>
    <w:rsid w:val="00175344"/>
    <w:rsid w:val="001758C4"/>
    <w:rsid w:val="00175C3A"/>
    <w:rsid w:val="00175CD8"/>
    <w:rsid w:val="00176E17"/>
    <w:rsid w:val="00176FFB"/>
    <w:rsid w:val="001772F0"/>
    <w:rsid w:val="001774DC"/>
    <w:rsid w:val="00177A09"/>
    <w:rsid w:val="00180C34"/>
    <w:rsid w:val="00181A1C"/>
    <w:rsid w:val="00181A2E"/>
    <w:rsid w:val="00181B88"/>
    <w:rsid w:val="00181CE8"/>
    <w:rsid w:val="00181D4D"/>
    <w:rsid w:val="001823A1"/>
    <w:rsid w:val="0018265D"/>
    <w:rsid w:val="001826AB"/>
    <w:rsid w:val="0018275B"/>
    <w:rsid w:val="00182786"/>
    <w:rsid w:val="001827DB"/>
    <w:rsid w:val="0018316E"/>
    <w:rsid w:val="0018396A"/>
    <w:rsid w:val="0018505C"/>
    <w:rsid w:val="00185DFB"/>
    <w:rsid w:val="00185DFC"/>
    <w:rsid w:val="00186B42"/>
    <w:rsid w:val="00186DAF"/>
    <w:rsid w:val="001873B1"/>
    <w:rsid w:val="00187554"/>
    <w:rsid w:val="001879B4"/>
    <w:rsid w:val="00187F9F"/>
    <w:rsid w:val="001904D0"/>
    <w:rsid w:val="00190C4B"/>
    <w:rsid w:val="00190DFD"/>
    <w:rsid w:val="00191120"/>
    <w:rsid w:val="00191949"/>
    <w:rsid w:val="00192062"/>
    <w:rsid w:val="001920F3"/>
    <w:rsid w:val="00192525"/>
    <w:rsid w:val="0019275B"/>
    <w:rsid w:val="00192D72"/>
    <w:rsid w:val="001933B7"/>
    <w:rsid w:val="00193715"/>
    <w:rsid w:val="0019428F"/>
    <w:rsid w:val="00194C46"/>
    <w:rsid w:val="00194D84"/>
    <w:rsid w:val="00195205"/>
    <w:rsid w:val="00195AF0"/>
    <w:rsid w:val="00195F61"/>
    <w:rsid w:val="00195FEA"/>
    <w:rsid w:val="001962CC"/>
    <w:rsid w:val="001964E7"/>
    <w:rsid w:val="00196B65"/>
    <w:rsid w:val="00196F1C"/>
    <w:rsid w:val="001972DD"/>
    <w:rsid w:val="00197376"/>
    <w:rsid w:val="001A0372"/>
    <w:rsid w:val="001A0A5A"/>
    <w:rsid w:val="001A1326"/>
    <w:rsid w:val="001A1B1B"/>
    <w:rsid w:val="001A1E6D"/>
    <w:rsid w:val="001A1E81"/>
    <w:rsid w:val="001A1FFD"/>
    <w:rsid w:val="001A2554"/>
    <w:rsid w:val="001A2F41"/>
    <w:rsid w:val="001A35C4"/>
    <w:rsid w:val="001A4653"/>
    <w:rsid w:val="001A4741"/>
    <w:rsid w:val="001A47DA"/>
    <w:rsid w:val="001A4890"/>
    <w:rsid w:val="001A4ADC"/>
    <w:rsid w:val="001A4BD6"/>
    <w:rsid w:val="001A4F1E"/>
    <w:rsid w:val="001A53C9"/>
    <w:rsid w:val="001A5CB0"/>
    <w:rsid w:val="001A642E"/>
    <w:rsid w:val="001A66CB"/>
    <w:rsid w:val="001A704E"/>
    <w:rsid w:val="001A70C6"/>
    <w:rsid w:val="001A7161"/>
    <w:rsid w:val="001A72A9"/>
    <w:rsid w:val="001A73FF"/>
    <w:rsid w:val="001A74DF"/>
    <w:rsid w:val="001A7AFD"/>
    <w:rsid w:val="001A7CE0"/>
    <w:rsid w:val="001B0AD0"/>
    <w:rsid w:val="001B0E49"/>
    <w:rsid w:val="001B1651"/>
    <w:rsid w:val="001B19A7"/>
    <w:rsid w:val="001B2076"/>
    <w:rsid w:val="001B2121"/>
    <w:rsid w:val="001B27BB"/>
    <w:rsid w:val="001B2AB6"/>
    <w:rsid w:val="001B393A"/>
    <w:rsid w:val="001B51B6"/>
    <w:rsid w:val="001B561A"/>
    <w:rsid w:val="001B5647"/>
    <w:rsid w:val="001B5927"/>
    <w:rsid w:val="001B6AE9"/>
    <w:rsid w:val="001B6E4D"/>
    <w:rsid w:val="001B6F12"/>
    <w:rsid w:val="001B6FFB"/>
    <w:rsid w:val="001B7321"/>
    <w:rsid w:val="001B73D0"/>
    <w:rsid w:val="001B75D7"/>
    <w:rsid w:val="001B7ADD"/>
    <w:rsid w:val="001C069A"/>
    <w:rsid w:val="001C06C8"/>
    <w:rsid w:val="001C128A"/>
    <w:rsid w:val="001C1FF5"/>
    <w:rsid w:val="001C20CF"/>
    <w:rsid w:val="001C2A4A"/>
    <w:rsid w:val="001C3099"/>
    <w:rsid w:val="001C3273"/>
    <w:rsid w:val="001C3E0F"/>
    <w:rsid w:val="001C44CC"/>
    <w:rsid w:val="001C482E"/>
    <w:rsid w:val="001C4BBB"/>
    <w:rsid w:val="001C5AEC"/>
    <w:rsid w:val="001C668D"/>
    <w:rsid w:val="001C7A98"/>
    <w:rsid w:val="001C7CBB"/>
    <w:rsid w:val="001C7F0E"/>
    <w:rsid w:val="001D058E"/>
    <w:rsid w:val="001D123B"/>
    <w:rsid w:val="001D14C7"/>
    <w:rsid w:val="001D1721"/>
    <w:rsid w:val="001D1E3F"/>
    <w:rsid w:val="001D2077"/>
    <w:rsid w:val="001D2374"/>
    <w:rsid w:val="001D238C"/>
    <w:rsid w:val="001D3A35"/>
    <w:rsid w:val="001D5317"/>
    <w:rsid w:val="001D53CB"/>
    <w:rsid w:val="001D5925"/>
    <w:rsid w:val="001D5969"/>
    <w:rsid w:val="001D5C28"/>
    <w:rsid w:val="001D637A"/>
    <w:rsid w:val="001D6385"/>
    <w:rsid w:val="001D6E56"/>
    <w:rsid w:val="001D6E7F"/>
    <w:rsid w:val="001D76AD"/>
    <w:rsid w:val="001E0111"/>
    <w:rsid w:val="001E06A4"/>
    <w:rsid w:val="001E0CB5"/>
    <w:rsid w:val="001E11FC"/>
    <w:rsid w:val="001E173B"/>
    <w:rsid w:val="001E2106"/>
    <w:rsid w:val="001E24FF"/>
    <w:rsid w:val="001E5229"/>
    <w:rsid w:val="001E5F52"/>
    <w:rsid w:val="001E66CB"/>
    <w:rsid w:val="001E691A"/>
    <w:rsid w:val="001F0B1D"/>
    <w:rsid w:val="001F0D52"/>
    <w:rsid w:val="001F1091"/>
    <w:rsid w:val="001F1981"/>
    <w:rsid w:val="001F1EFB"/>
    <w:rsid w:val="001F1F7E"/>
    <w:rsid w:val="001F27C4"/>
    <w:rsid w:val="001F2877"/>
    <w:rsid w:val="001F32AE"/>
    <w:rsid w:val="001F3720"/>
    <w:rsid w:val="001F4401"/>
    <w:rsid w:val="001F4EF2"/>
    <w:rsid w:val="001F6ADE"/>
    <w:rsid w:val="001F75AB"/>
    <w:rsid w:val="00200A30"/>
    <w:rsid w:val="002013B0"/>
    <w:rsid w:val="0020172A"/>
    <w:rsid w:val="00201D96"/>
    <w:rsid w:val="00203D6D"/>
    <w:rsid w:val="0020400B"/>
    <w:rsid w:val="00204B10"/>
    <w:rsid w:val="00205664"/>
    <w:rsid w:val="00206540"/>
    <w:rsid w:val="0020787E"/>
    <w:rsid w:val="00207CA8"/>
    <w:rsid w:val="00207D96"/>
    <w:rsid w:val="00207DF7"/>
    <w:rsid w:val="00207E3F"/>
    <w:rsid w:val="00207E44"/>
    <w:rsid w:val="00207EA3"/>
    <w:rsid w:val="00207EF8"/>
    <w:rsid w:val="00210312"/>
    <w:rsid w:val="0021038A"/>
    <w:rsid w:val="00210AA6"/>
    <w:rsid w:val="00210AF1"/>
    <w:rsid w:val="002111CD"/>
    <w:rsid w:val="00211250"/>
    <w:rsid w:val="00211615"/>
    <w:rsid w:val="002118ED"/>
    <w:rsid w:val="002125CC"/>
    <w:rsid w:val="00212773"/>
    <w:rsid w:val="00212A34"/>
    <w:rsid w:val="00213398"/>
    <w:rsid w:val="002136CA"/>
    <w:rsid w:val="0021447D"/>
    <w:rsid w:val="002148A3"/>
    <w:rsid w:val="002153AD"/>
    <w:rsid w:val="00216497"/>
    <w:rsid w:val="00216C6C"/>
    <w:rsid w:val="002172D4"/>
    <w:rsid w:val="0021752D"/>
    <w:rsid w:val="00217D28"/>
    <w:rsid w:val="002204D1"/>
    <w:rsid w:val="002208CE"/>
    <w:rsid w:val="00220B66"/>
    <w:rsid w:val="00220E3D"/>
    <w:rsid w:val="00220F85"/>
    <w:rsid w:val="00220FFA"/>
    <w:rsid w:val="002212A8"/>
    <w:rsid w:val="002217A3"/>
    <w:rsid w:val="00221CD6"/>
    <w:rsid w:val="00221FC2"/>
    <w:rsid w:val="00222352"/>
    <w:rsid w:val="002226EF"/>
    <w:rsid w:val="0022341A"/>
    <w:rsid w:val="00224094"/>
    <w:rsid w:val="00224CB6"/>
    <w:rsid w:val="00225A10"/>
    <w:rsid w:val="0022615B"/>
    <w:rsid w:val="00226398"/>
    <w:rsid w:val="00226682"/>
    <w:rsid w:val="00226A14"/>
    <w:rsid w:val="00226C26"/>
    <w:rsid w:val="00227741"/>
    <w:rsid w:val="00227E55"/>
    <w:rsid w:val="00230608"/>
    <w:rsid w:val="00230AB6"/>
    <w:rsid w:val="00232B89"/>
    <w:rsid w:val="002331F8"/>
    <w:rsid w:val="00233774"/>
    <w:rsid w:val="00233C04"/>
    <w:rsid w:val="00233F9A"/>
    <w:rsid w:val="002340EC"/>
    <w:rsid w:val="00234FBC"/>
    <w:rsid w:val="002350CF"/>
    <w:rsid w:val="002352D5"/>
    <w:rsid w:val="002357F7"/>
    <w:rsid w:val="00235AD9"/>
    <w:rsid w:val="00235EE2"/>
    <w:rsid w:val="00235F4F"/>
    <w:rsid w:val="0023608E"/>
    <w:rsid w:val="00236915"/>
    <w:rsid w:val="002369BF"/>
    <w:rsid w:val="00237432"/>
    <w:rsid w:val="00237955"/>
    <w:rsid w:val="00237A6B"/>
    <w:rsid w:val="00237B5F"/>
    <w:rsid w:val="00240B2B"/>
    <w:rsid w:val="002411A9"/>
    <w:rsid w:val="0024139C"/>
    <w:rsid w:val="002413FC"/>
    <w:rsid w:val="002415A5"/>
    <w:rsid w:val="00242A0F"/>
    <w:rsid w:val="00242ABB"/>
    <w:rsid w:val="00242B31"/>
    <w:rsid w:val="00243C9D"/>
    <w:rsid w:val="00244222"/>
    <w:rsid w:val="00244C1F"/>
    <w:rsid w:val="00244DBC"/>
    <w:rsid w:val="00244F6E"/>
    <w:rsid w:val="00245120"/>
    <w:rsid w:val="00245861"/>
    <w:rsid w:val="00245A30"/>
    <w:rsid w:val="00246158"/>
    <w:rsid w:val="002464BE"/>
    <w:rsid w:val="00247180"/>
    <w:rsid w:val="00247387"/>
    <w:rsid w:val="0024769E"/>
    <w:rsid w:val="00247ADD"/>
    <w:rsid w:val="00247D33"/>
    <w:rsid w:val="00250C48"/>
    <w:rsid w:val="00250D6A"/>
    <w:rsid w:val="0025128C"/>
    <w:rsid w:val="00251A18"/>
    <w:rsid w:val="00251A87"/>
    <w:rsid w:val="002521F5"/>
    <w:rsid w:val="00252699"/>
    <w:rsid w:val="0025291F"/>
    <w:rsid w:val="00253897"/>
    <w:rsid w:val="00253EBA"/>
    <w:rsid w:val="00254652"/>
    <w:rsid w:val="00254A58"/>
    <w:rsid w:val="00254EB5"/>
    <w:rsid w:val="00255138"/>
    <w:rsid w:val="00256C99"/>
    <w:rsid w:val="00256D46"/>
    <w:rsid w:val="002571A9"/>
    <w:rsid w:val="0025748C"/>
    <w:rsid w:val="0025762E"/>
    <w:rsid w:val="00257820"/>
    <w:rsid w:val="00260143"/>
    <w:rsid w:val="002602EE"/>
    <w:rsid w:val="00260ACA"/>
    <w:rsid w:val="00260B76"/>
    <w:rsid w:val="0026158A"/>
    <w:rsid w:val="00261686"/>
    <w:rsid w:val="00261752"/>
    <w:rsid w:val="0026188D"/>
    <w:rsid w:val="00262157"/>
    <w:rsid w:val="00262196"/>
    <w:rsid w:val="00262ABF"/>
    <w:rsid w:val="00263994"/>
    <w:rsid w:val="00263B39"/>
    <w:rsid w:val="0026401D"/>
    <w:rsid w:val="002641B8"/>
    <w:rsid w:val="0026430F"/>
    <w:rsid w:val="00264490"/>
    <w:rsid w:val="0026450C"/>
    <w:rsid w:val="0026500A"/>
    <w:rsid w:val="0026503A"/>
    <w:rsid w:val="002653B6"/>
    <w:rsid w:val="00265581"/>
    <w:rsid w:val="0026588D"/>
    <w:rsid w:val="00265ECD"/>
    <w:rsid w:val="0026694A"/>
    <w:rsid w:val="00267E95"/>
    <w:rsid w:val="00270088"/>
    <w:rsid w:val="00270484"/>
    <w:rsid w:val="00270E78"/>
    <w:rsid w:val="002718B6"/>
    <w:rsid w:val="00271C72"/>
    <w:rsid w:val="00271D13"/>
    <w:rsid w:val="00271DBB"/>
    <w:rsid w:val="00272039"/>
    <w:rsid w:val="0027389C"/>
    <w:rsid w:val="00273C50"/>
    <w:rsid w:val="00273F1E"/>
    <w:rsid w:val="00273F2E"/>
    <w:rsid w:val="00273FA5"/>
    <w:rsid w:val="00274626"/>
    <w:rsid w:val="00274AEF"/>
    <w:rsid w:val="00274DA8"/>
    <w:rsid w:val="00274F01"/>
    <w:rsid w:val="00274F5C"/>
    <w:rsid w:val="00275266"/>
    <w:rsid w:val="00277B7B"/>
    <w:rsid w:val="00277F4B"/>
    <w:rsid w:val="00281280"/>
    <w:rsid w:val="00281569"/>
    <w:rsid w:val="00281A3E"/>
    <w:rsid w:val="00281BF8"/>
    <w:rsid w:val="00281DE7"/>
    <w:rsid w:val="00281EBC"/>
    <w:rsid w:val="00281F1B"/>
    <w:rsid w:val="002821A2"/>
    <w:rsid w:val="0028261D"/>
    <w:rsid w:val="00282D7B"/>
    <w:rsid w:val="00282DCF"/>
    <w:rsid w:val="00282FB6"/>
    <w:rsid w:val="00283E11"/>
    <w:rsid w:val="00284D37"/>
    <w:rsid w:val="00284F67"/>
    <w:rsid w:val="00285A28"/>
    <w:rsid w:val="00285E9B"/>
    <w:rsid w:val="0028710A"/>
    <w:rsid w:val="00287139"/>
    <w:rsid w:val="00287531"/>
    <w:rsid w:val="00287E57"/>
    <w:rsid w:val="002904AD"/>
    <w:rsid w:val="002906A9"/>
    <w:rsid w:val="002912D2"/>
    <w:rsid w:val="0029152E"/>
    <w:rsid w:val="00291CB6"/>
    <w:rsid w:val="002921A3"/>
    <w:rsid w:val="002929D2"/>
    <w:rsid w:val="00292E11"/>
    <w:rsid w:val="0029349F"/>
    <w:rsid w:val="002947F9"/>
    <w:rsid w:val="002948FD"/>
    <w:rsid w:val="00294BF2"/>
    <w:rsid w:val="00294D5E"/>
    <w:rsid w:val="0029501D"/>
    <w:rsid w:val="00295132"/>
    <w:rsid w:val="0029594D"/>
    <w:rsid w:val="0029613F"/>
    <w:rsid w:val="0029655C"/>
    <w:rsid w:val="002965CC"/>
    <w:rsid w:val="00296779"/>
    <w:rsid w:val="002968BD"/>
    <w:rsid w:val="00297996"/>
    <w:rsid w:val="00297C96"/>
    <w:rsid w:val="00297E22"/>
    <w:rsid w:val="00297F91"/>
    <w:rsid w:val="002A05D0"/>
    <w:rsid w:val="002A0600"/>
    <w:rsid w:val="002A06BC"/>
    <w:rsid w:val="002A09CB"/>
    <w:rsid w:val="002A0C09"/>
    <w:rsid w:val="002A0FC4"/>
    <w:rsid w:val="002A1583"/>
    <w:rsid w:val="002A2E4F"/>
    <w:rsid w:val="002A33C6"/>
    <w:rsid w:val="002A392F"/>
    <w:rsid w:val="002A3A43"/>
    <w:rsid w:val="002A3DA2"/>
    <w:rsid w:val="002A3DE5"/>
    <w:rsid w:val="002A42BA"/>
    <w:rsid w:val="002A4AA4"/>
    <w:rsid w:val="002A503D"/>
    <w:rsid w:val="002A5205"/>
    <w:rsid w:val="002A59C6"/>
    <w:rsid w:val="002A5B5B"/>
    <w:rsid w:val="002A5D18"/>
    <w:rsid w:val="002A5E17"/>
    <w:rsid w:val="002A5F22"/>
    <w:rsid w:val="002A685D"/>
    <w:rsid w:val="002A7175"/>
    <w:rsid w:val="002A7341"/>
    <w:rsid w:val="002A7386"/>
    <w:rsid w:val="002A74C5"/>
    <w:rsid w:val="002A7ADC"/>
    <w:rsid w:val="002A7D3C"/>
    <w:rsid w:val="002B0986"/>
    <w:rsid w:val="002B09DD"/>
    <w:rsid w:val="002B0A38"/>
    <w:rsid w:val="002B0F55"/>
    <w:rsid w:val="002B1544"/>
    <w:rsid w:val="002B18E8"/>
    <w:rsid w:val="002B242A"/>
    <w:rsid w:val="002B27D3"/>
    <w:rsid w:val="002B2F57"/>
    <w:rsid w:val="002B33F7"/>
    <w:rsid w:val="002B3FF7"/>
    <w:rsid w:val="002B41D4"/>
    <w:rsid w:val="002B482F"/>
    <w:rsid w:val="002B5183"/>
    <w:rsid w:val="002B52E6"/>
    <w:rsid w:val="002B58B7"/>
    <w:rsid w:val="002B5994"/>
    <w:rsid w:val="002B715F"/>
    <w:rsid w:val="002B76F1"/>
    <w:rsid w:val="002B7F0A"/>
    <w:rsid w:val="002B7F0B"/>
    <w:rsid w:val="002C0044"/>
    <w:rsid w:val="002C0144"/>
    <w:rsid w:val="002C1015"/>
    <w:rsid w:val="002C1148"/>
    <w:rsid w:val="002C1DF3"/>
    <w:rsid w:val="002C2705"/>
    <w:rsid w:val="002C2846"/>
    <w:rsid w:val="002C2AA1"/>
    <w:rsid w:val="002C2E1E"/>
    <w:rsid w:val="002C37C0"/>
    <w:rsid w:val="002C391E"/>
    <w:rsid w:val="002C4661"/>
    <w:rsid w:val="002C5D4F"/>
    <w:rsid w:val="002C602B"/>
    <w:rsid w:val="002C60DF"/>
    <w:rsid w:val="002C6A75"/>
    <w:rsid w:val="002C735D"/>
    <w:rsid w:val="002D0A80"/>
    <w:rsid w:val="002D0A94"/>
    <w:rsid w:val="002D105B"/>
    <w:rsid w:val="002D1394"/>
    <w:rsid w:val="002D16F2"/>
    <w:rsid w:val="002D2077"/>
    <w:rsid w:val="002D2362"/>
    <w:rsid w:val="002D23E6"/>
    <w:rsid w:val="002D262C"/>
    <w:rsid w:val="002D2922"/>
    <w:rsid w:val="002D3949"/>
    <w:rsid w:val="002D395A"/>
    <w:rsid w:val="002D3A7A"/>
    <w:rsid w:val="002D520F"/>
    <w:rsid w:val="002D52C0"/>
    <w:rsid w:val="002D5707"/>
    <w:rsid w:val="002D59D1"/>
    <w:rsid w:val="002D5E12"/>
    <w:rsid w:val="002D5ED4"/>
    <w:rsid w:val="002D6941"/>
    <w:rsid w:val="002D6A66"/>
    <w:rsid w:val="002D7738"/>
    <w:rsid w:val="002E066C"/>
    <w:rsid w:val="002E0FD5"/>
    <w:rsid w:val="002E1EFF"/>
    <w:rsid w:val="002E23FE"/>
    <w:rsid w:val="002E2D98"/>
    <w:rsid w:val="002E332B"/>
    <w:rsid w:val="002E33BF"/>
    <w:rsid w:val="002E344B"/>
    <w:rsid w:val="002E381D"/>
    <w:rsid w:val="002E448B"/>
    <w:rsid w:val="002E449A"/>
    <w:rsid w:val="002E48E4"/>
    <w:rsid w:val="002E4BD5"/>
    <w:rsid w:val="002E4D7D"/>
    <w:rsid w:val="002E5555"/>
    <w:rsid w:val="002E5B7A"/>
    <w:rsid w:val="002E71EF"/>
    <w:rsid w:val="002E7AE0"/>
    <w:rsid w:val="002E7DA0"/>
    <w:rsid w:val="002F08E6"/>
    <w:rsid w:val="002F194E"/>
    <w:rsid w:val="002F23D5"/>
    <w:rsid w:val="002F256E"/>
    <w:rsid w:val="002F3D51"/>
    <w:rsid w:val="002F508D"/>
    <w:rsid w:val="002F5E59"/>
    <w:rsid w:val="00300143"/>
    <w:rsid w:val="0030096C"/>
    <w:rsid w:val="00300F9B"/>
    <w:rsid w:val="00300FA4"/>
    <w:rsid w:val="003015EC"/>
    <w:rsid w:val="00301ABC"/>
    <w:rsid w:val="00302193"/>
    <w:rsid w:val="00302C75"/>
    <w:rsid w:val="0030331A"/>
    <w:rsid w:val="00303880"/>
    <w:rsid w:val="0030392D"/>
    <w:rsid w:val="00303B9A"/>
    <w:rsid w:val="003040D3"/>
    <w:rsid w:val="003047DF"/>
    <w:rsid w:val="00305998"/>
    <w:rsid w:val="00305D65"/>
    <w:rsid w:val="00305E1F"/>
    <w:rsid w:val="00306ABD"/>
    <w:rsid w:val="00306F49"/>
    <w:rsid w:val="00307212"/>
    <w:rsid w:val="00307D32"/>
    <w:rsid w:val="00311670"/>
    <w:rsid w:val="00311801"/>
    <w:rsid w:val="00312235"/>
    <w:rsid w:val="00312B1C"/>
    <w:rsid w:val="00313B0F"/>
    <w:rsid w:val="003142D4"/>
    <w:rsid w:val="003148C1"/>
    <w:rsid w:val="003148DA"/>
    <w:rsid w:val="00314BCB"/>
    <w:rsid w:val="00314D42"/>
    <w:rsid w:val="0031586D"/>
    <w:rsid w:val="00316754"/>
    <w:rsid w:val="00316FA1"/>
    <w:rsid w:val="0031759E"/>
    <w:rsid w:val="003176E5"/>
    <w:rsid w:val="00317828"/>
    <w:rsid w:val="00317AAA"/>
    <w:rsid w:val="0032001B"/>
    <w:rsid w:val="003202CA"/>
    <w:rsid w:val="00320B69"/>
    <w:rsid w:val="00320C7F"/>
    <w:rsid w:val="00320DEC"/>
    <w:rsid w:val="003217B7"/>
    <w:rsid w:val="00321FAF"/>
    <w:rsid w:val="003223A7"/>
    <w:rsid w:val="0032289F"/>
    <w:rsid w:val="00322A92"/>
    <w:rsid w:val="00322BE6"/>
    <w:rsid w:val="00323587"/>
    <w:rsid w:val="003237E7"/>
    <w:rsid w:val="0032380E"/>
    <w:rsid w:val="003240E2"/>
    <w:rsid w:val="00324210"/>
    <w:rsid w:val="00324379"/>
    <w:rsid w:val="00324C2A"/>
    <w:rsid w:val="003251D9"/>
    <w:rsid w:val="00325529"/>
    <w:rsid w:val="003255E1"/>
    <w:rsid w:val="00327347"/>
    <w:rsid w:val="00330531"/>
    <w:rsid w:val="00330C09"/>
    <w:rsid w:val="00330D78"/>
    <w:rsid w:val="003313C3"/>
    <w:rsid w:val="00331705"/>
    <w:rsid w:val="003318AA"/>
    <w:rsid w:val="003319AF"/>
    <w:rsid w:val="00331BFE"/>
    <w:rsid w:val="00332A6A"/>
    <w:rsid w:val="003333A4"/>
    <w:rsid w:val="003339CC"/>
    <w:rsid w:val="00333DB7"/>
    <w:rsid w:val="003340B2"/>
    <w:rsid w:val="0033433F"/>
    <w:rsid w:val="0033435F"/>
    <w:rsid w:val="00334D27"/>
    <w:rsid w:val="0033583E"/>
    <w:rsid w:val="00335923"/>
    <w:rsid w:val="00335AA6"/>
    <w:rsid w:val="00335E0E"/>
    <w:rsid w:val="003365C8"/>
    <w:rsid w:val="003365F5"/>
    <w:rsid w:val="0033665E"/>
    <w:rsid w:val="00336E55"/>
    <w:rsid w:val="003372F3"/>
    <w:rsid w:val="00337964"/>
    <w:rsid w:val="00340113"/>
    <w:rsid w:val="003413A0"/>
    <w:rsid w:val="00341821"/>
    <w:rsid w:val="003420D4"/>
    <w:rsid w:val="00342862"/>
    <w:rsid w:val="00342ED2"/>
    <w:rsid w:val="00342FAA"/>
    <w:rsid w:val="003438D2"/>
    <w:rsid w:val="00343E52"/>
    <w:rsid w:val="0034456D"/>
    <w:rsid w:val="003447C1"/>
    <w:rsid w:val="00344B69"/>
    <w:rsid w:val="00344CFA"/>
    <w:rsid w:val="00344EEF"/>
    <w:rsid w:val="00344F41"/>
    <w:rsid w:val="0034553A"/>
    <w:rsid w:val="00345728"/>
    <w:rsid w:val="00346794"/>
    <w:rsid w:val="00346B38"/>
    <w:rsid w:val="003470FD"/>
    <w:rsid w:val="003474DB"/>
    <w:rsid w:val="00347850"/>
    <w:rsid w:val="00347D27"/>
    <w:rsid w:val="00350485"/>
    <w:rsid w:val="00350547"/>
    <w:rsid w:val="0035058F"/>
    <w:rsid w:val="003518E7"/>
    <w:rsid w:val="0035196A"/>
    <w:rsid w:val="00351A05"/>
    <w:rsid w:val="00351A33"/>
    <w:rsid w:val="00352048"/>
    <w:rsid w:val="003523F3"/>
    <w:rsid w:val="00352618"/>
    <w:rsid w:val="003528B9"/>
    <w:rsid w:val="00352A99"/>
    <w:rsid w:val="00352B50"/>
    <w:rsid w:val="00352C39"/>
    <w:rsid w:val="00353047"/>
    <w:rsid w:val="00353244"/>
    <w:rsid w:val="00353A10"/>
    <w:rsid w:val="00353A89"/>
    <w:rsid w:val="003546CF"/>
    <w:rsid w:val="0035513A"/>
    <w:rsid w:val="00355388"/>
    <w:rsid w:val="00356203"/>
    <w:rsid w:val="003564AB"/>
    <w:rsid w:val="00356628"/>
    <w:rsid w:val="0035726B"/>
    <w:rsid w:val="0035792F"/>
    <w:rsid w:val="00360565"/>
    <w:rsid w:val="0036078A"/>
    <w:rsid w:val="00361946"/>
    <w:rsid w:val="00361A45"/>
    <w:rsid w:val="003622F5"/>
    <w:rsid w:val="00362C3A"/>
    <w:rsid w:val="00363410"/>
    <w:rsid w:val="00363635"/>
    <w:rsid w:val="0036379E"/>
    <w:rsid w:val="003638E7"/>
    <w:rsid w:val="00363B07"/>
    <w:rsid w:val="00363EEA"/>
    <w:rsid w:val="0036423C"/>
    <w:rsid w:val="00365518"/>
    <w:rsid w:val="0036577C"/>
    <w:rsid w:val="00365B14"/>
    <w:rsid w:val="00365C68"/>
    <w:rsid w:val="003664A7"/>
    <w:rsid w:val="00366CE8"/>
    <w:rsid w:val="00366D4C"/>
    <w:rsid w:val="003672E7"/>
    <w:rsid w:val="00367BB5"/>
    <w:rsid w:val="00367ED6"/>
    <w:rsid w:val="003700BA"/>
    <w:rsid w:val="00370D3C"/>
    <w:rsid w:val="00370E1D"/>
    <w:rsid w:val="00370EC6"/>
    <w:rsid w:val="00371355"/>
    <w:rsid w:val="003719C1"/>
    <w:rsid w:val="00372B3A"/>
    <w:rsid w:val="003733D6"/>
    <w:rsid w:val="00373D15"/>
    <w:rsid w:val="003740A3"/>
    <w:rsid w:val="00374CA1"/>
    <w:rsid w:val="00374DEA"/>
    <w:rsid w:val="00375864"/>
    <w:rsid w:val="00376A16"/>
    <w:rsid w:val="00376A5D"/>
    <w:rsid w:val="00376EA5"/>
    <w:rsid w:val="003770F2"/>
    <w:rsid w:val="00377896"/>
    <w:rsid w:val="00377A6B"/>
    <w:rsid w:val="00377D91"/>
    <w:rsid w:val="0038018B"/>
    <w:rsid w:val="003812C7"/>
    <w:rsid w:val="0038175D"/>
    <w:rsid w:val="00381816"/>
    <w:rsid w:val="00381931"/>
    <w:rsid w:val="00382523"/>
    <w:rsid w:val="003829FB"/>
    <w:rsid w:val="00382A6C"/>
    <w:rsid w:val="00382CA6"/>
    <w:rsid w:val="0038322F"/>
    <w:rsid w:val="00383610"/>
    <w:rsid w:val="003839FD"/>
    <w:rsid w:val="0038419F"/>
    <w:rsid w:val="00384C7B"/>
    <w:rsid w:val="00385389"/>
    <w:rsid w:val="00385CED"/>
    <w:rsid w:val="00385D1F"/>
    <w:rsid w:val="00385D4E"/>
    <w:rsid w:val="00385F1D"/>
    <w:rsid w:val="003861C4"/>
    <w:rsid w:val="00386543"/>
    <w:rsid w:val="003873C3"/>
    <w:rsid w:val="00387766"/>
    <w:rsid w:val="00387EC3"/>
    <w:rsid w:val="00387F91"/>
    <w:rsid w:val="0039002D"/>
    <w:rsid w:val="00390DA8"/>
    <w:rsid w:val="00390E50"/>
    <w:rsid w:val="00392053"/>
    <w:rsid w:val="003920DC"/>
    <w:rsid w:val="003926CD"/>
    <w:rsid w:val="00392C99"/>
    <w:rsid w:val="00393295"/>
    <w:rsid w:val="00393399"/>
    <w:rsid w:val="0039350D"/>
    <w:rsid w:val="0039370F"/>
    <w:rsid w:val="00394139"/>
    <w:rsid w:val="003941EB"/>
    <w:rsid w:val="0039484A"/>
    <w:rsid w:val="003952D6"/>
    <w:rsid w:val="003953F2"/>
    <w:rsid w:val="003955F9"/>
    <w:rsid w:val="0039565C"/>
    <w:rsid w:val="003956E4"/>
    <w:rsid w:val="00396B84"/>
    <w:rsid w:val="00396BA4"/>
    <w:rsid w:val="00396DBD"/>
    <w:rsid w:val="00397026"/>
    <w:rsid w:val="003970D1"/>
    <w:rsid w:val="00397509"/>
    <w:rsid w:val="0039773A"/>
    <w:rsid w:val="003A0318"/>
    <w:rsid w:val="003A1136"/>
    <w:rsid w:val="003A11AD"/>
    <w:rsid w:val="003A1DB4"/>
    <w:rsid w:val="003A21FC"/>
    <w:rsid w:val="003A2522"/>
    <w:rsid w:val="003A26EB"/>
    <w:rsid w:val="003A2DBB"/>
    <w:rsid w:val="003A2DC7"/>
    <w:rsid w:val="003A3638"/>
    <w:rsid w:val="003A40FF"/>
    <w:rsid w:val="003A4598"/>
    <w:rsid w:val="003A4A74"/>
    <w:rsid w:val="003A53A5"/>
    <w:rsid w:val="003A5BC9"/>
    <w:rsid w:val="003A5D4A"/>
    <w:rsid w:val="003A5E1A"/>
    <w:rsid w:val="003A64E0"/>
    <w:rsid w:val="003A6B9F"/>
    <w:rsid w:val="003B0384"/>
    <w:rsid w:val="003B0602"/>
    <w:rsid w:val="003B0BBD"/>
    <w:rsid w:val="003B0F59"/>
    <w:rsid w:val="003B16F0"/>
    <w:rsid w:val="003B1E47"/>
    <w:rsid w:val="003B20B9"/>
    <w:rsid w:val="003B2712"/>
    <w:rsid w:val="003B36E5"/>
    <w:rsid w:val="003B3735"/>
    <w:rsid w:val="003B3BFE"/>
    <w:rsid w:val="003B4F43"/>
    <w:rsid w:val="003B5464"/>
    <w:rsid w:val="003B5958"/>
    <w:rsid w:val="003B59D3"/>
    <w:rsid w:val="003B66EF"/>
    <w:rsid w:val="003B70BF"/>
    <w:rsid w:val="003B7905"/>
    <w:rsid w:val="003B7A2B"/>
    <w:rsid w:val="003B7A4A"/>
    <w:rsid w:val="003C03F1"/>
    <w:rsid w:val="003C0538"/>
    <w:rsid w:val="003C05DE"/>
    <w:rsid w:val="003C18DD"/>
    <w:rsid w:val="003C1C75"/>
    <w:rsid w:val="003C20B0"/>
    <w:rsid w:val="003C21DA"/>
    <w:rsid w:val="003C2252"/>
    <w:rsid w:val="003C3107"/>
    <w:rsid w:val="003C33C2"/>
    <w:rsid w:val="003C3999"/>
    <w:rsid w:val="003C3F50"/>
    <w:rsid w:val="003C4A88"/>
    <w:rsid w:val="003C57F0"/>
    <w:rsid w:val="003C5EDB"/>
    <w:rsid w:val="003C6089"/>
    <w:rsid w:val="003C644F"/>
    <w:rsid w:val="003C6672"/>
    <w:rsid w:val="003C678F"/>
    <w:rsid w:val="003C6ACE"/>
    <w:rsid w:val="003C723F"/>
    <w:rsid w:val="003C7922"/>
    <w:rsid w:val="003D01B0"/>
    <w:rsid w:val="003D0505"/>
    <w:rsid w:val="003D05E5"/>
    <w:rsid w:val="003D16A6"/>
    <w:rsid w:val="003D1783"/>
    <w:rsid w:val="003D18D2"/>
    <w:rsid w:val="003D1A91"/>
    <w:rsid w:val="003D1C2D"/>
    <w:rsid w:val="003D1D9C"/>
    <w:rsid w:val="003D1E50"/>
    <w:rsid w:val="003D210D"/>
    <w:rsid w:val="003D2158"/>
    <w:rsid w:val="003D22CC"/>
    <w:rsid w:val="003D244A"/>
    <w:rsid w:val="003D2480"/>
    <w:rsid w:val="003D37F1"/>
    <w:rsid w:val="003D3C7E"/>
    <w:rsid w:val="003D3FBD"/>
    <w:rsid w:val="003D4169"/>
    <w:rsid w:val="003D4650"/>
    <w:rsid w:val="003D48C9"/>
    <w:rsid w:val="003D566A"/>
    <w:rsid w:val="003D6539"/>
    <w:rsid w:val="003D6D52"/>
    <w:rsid w:val="003D6F95"/>
    <w:rsid w:val="003D700C"/>
    <w:rsid w:val="003D768B"/>
    <w:rsid w:val="003D768C"/>
    <w:rsid w:val="003D7BFE"/>
    <w:rsid w:val="003E001F"/>
    <w:rsid w:val="003E0818"/>
    <w:rsid w:val="003E1633"/>
    <w:rsid w:val="003E18D0"/>
    <w:rsid w:val="003E1CC5"/>
    <w:rsid w:val="003E2631"/>
    <w:rsid w:val="003E2C5D"/>
    <w:rsid w:val="003E2D7D"/>
    <w:rsid w:val="003E2D8C"/>
    <w:rsid w:val="003E2F95"/>
    <w:rsid w:val="003E3B9E"/>
    <w:rsid w:val="003E3D32"/>
    <w:rsid w:val="003E4311"/>
    <w:rsid w:val="003E4513"/>
    <w:rsid w:val="003E5207"/>
    <w:rsid w:val="003E5466"/>
    <w:rsid w:val="003E5A53"/>
    <w:rsid w:val="003E5D9C"/>
    <w:rsid w:val="003E61C4"/>
    <w:rsid w:val="003E6A5B"/>
    <w:rsid w:val="003E6C4B"/>
    <w:rsid w:val="003F026E"/>
    <w:rsid w:val="003F09E3"/>
    <w:rsid w:val="003F0C10"/>
    <w:rsid w:val="003F199C"/>
    <w:rsid w:val="003F1AA3"/>
    <w:rsid w:val="003F35B1"/>
    <w:rsid w:val="003F3865"/>
    <w:rsid w:val="003F426F"/>
    <w:rsid w:val="003F42D3"/>
    <w:rsid w:val="003F4354"/>
    <w:rsid w:val="003F4856"/>
    <w:rsid w:val="003F4C73"/>
    <w:rsid w:val="003F6477"/>
    <w:rsid w:val="003F64D2"/>
    <w:rsid w:val="003F65BB"/>
    <w:rsid w:val="003F72A6"/>
    <w:rsid w:val="003F74BA"/>
    <w:rsid w:val="003F7A95"/>
    <w:rsid w:val="0040085B"/>
    <w:rsid w:val="0040115E"/>
    <w:rsid w:val="004011B9"/>
    <w:rsid w:val="004027CE"/>
    <w:rsid w:val="00402DEB"/>
    <w:rsid w:val="0040304B"/>
    <w:rsid w:val="00403E94"/>
    <w:rsid w:val="00404091"/>
    <w:rsid w:val="00404817"/>
    <w:rsid w:val="004049FE"/>
    <w:rsid w:val="00404DD2"/>
    <w:rsid w:val="00405B33"/>
    <w:rsid w:val="00406ADA"/>
    <w:rsid w:val="00406BF9"/>
    <w:rsid w:val="00407274"/>
    <w:rsid w:val="004074EE"/>
    <w:rsid w:val="00407A2A"/>
    <w:rsid w:val="004103E4"/>
    <w:rsid w:val="004108AE"/>
    <w:rsid w:val="00411120"/>
    <w:rsid w:val="00411AF3"/>
    <w:rsid w:val="00411C21"/>
    <w:rsid w:val="004123B5"/>
    <w:rsid w:val="00412BFB"/>
    <w:rsid w:val="00413323"/>
    <w:rsid w:val="004135D8"/>
    <w:rsid w:val="00414382"/>
    <w:rsid w:val="00414678"/>
    <w:rsid w:val="004148BB"/>
    <w:rsid w:val="00414FAC"/>
    <w:rsid w:val="004153CA"/>
    <w:rsid w:val="00415653"/>
    <w:rsid w:val="0041596E"/>
    <w:rsid w:val="004170D8"/>
    <w:rsid w:val="00417142"/>
    <w:rsid w:val="00417E05"/>
    <w:rsid w:val="00420590"/>
    <w:rsid w:val="004205F2"/>
    <w:rsid w:val="00421E56"/>
    <w:rsid w:val="00421F74"/>
    <w:rsid w:val="00422866"/>
    <w:rsid w:val="00422D54"/>
    <w:rsid w:val="00422F44"/>
    <w:rsid w:val="00423A6E"/>
    <w:rsid w:val="00423F8A"/>
    <w:rsid w:val="00424A39"/>
    <w:rsid w:val="00424B66"/>
    <w:rsid w:val="0042515E"/>
    <w:rsid w:val="00425313"/>
    <w:rsid w:val="004255F5"/>
    <w:rsid w:val="004257D7"/>
    <w:rsid w:val="004258D5"/>
    <w:rsid w:val="00425929"/>
    <w:rsid w:val="00425BAF"/>
    <w:rsid w:val="00425BCA"/>
    <w:rsid w:val="00425F92"/>
    <w:rsid w:val="004277F5"/>
    <w:rsid w:val="00427A6E"/>
    <w:rsid w:val="00430E5B"/>
    <w:rsid w:val="00431513"/>
    <w:rsid w:val="00432581"/>
    <w:rsid w:val="00432D28"/>
    <w:rsid w:val="00432D8D"/>
    <w:rsid w:val="004332B2"/>
    <w:rsid w:val="0043348D"/>
    <w:rsid w:val="004339C5"/>
    <w:rsid w:val="00433D3E"/>
    <w:rsid w:val="004341B3"/>
    <w:rsid w:val="00434633"/>
    <w:rsid w:val="004352DD"/>
    <w:rsid w:val="00435578"/>
    <w:rsid w:val="00435F75"/>
    <w:rsid w:val="0043655E"/>
    <w:rsid w:val="00436986"/>
    <w:rsid w:val="00436D95"/>
    <w:rsid w:val="00436EB8"/>
    <w:rsid w:val="0043740A"/>
    <w:rsid w:val="00437C2B"/>
    <w:rsid w:val="00440313"/>
    <w:rsid w:val="00440A04"/>
    <w:rsid w:val="00440AA9"/>
    <w:rsid w:val="0044126B"/>
    <w:rsid w:val="004425D8"/>
    <w:rsid w:val="0044285B"/>
    <w:rsid w:val="00442984"/>
    <w:rsid w:val="004432C2"/>
    <w:rsid w:val="004440A8"/>
    <w:rsid w:val="00444184"/>
    <w:rsid w:val="00444457"/>
    <w:rsid w:val="00444A89"/>
    <w:rsid w:val="00445346"/>
    <w:rsid w:val="0044655E"/>
    <w:rsid w:val="004466CD"/>
    <w:rsid w:val="00446DB6"/>
    <w:rsid w:val="00447BC6"/>
    <w:rsid w:val="00447CB3"/>
    <w:rsid w:val="00450247"/>
    <w:rsid w:val="0045050F"/>
    <w:rsid w:val="004516F1"/>
    <w:rsid w:val="00452541"/>
    <w:rsid w:val="004525CD"/>
    <w:rsid w:val="00452FB5"/>
    <w:rsid w:val="004536D8"/>
    <w:rsid w:val="004538BA"/>
    <w:rsid w:val="004538DE"/>
    <w:rsid w:val="00454194"/>
    <w:rsid w:val="004548F8"/>
    <w:rsid w:val="00454F73"/>
    <w:rsid w:val="0045557E"/>
    <w:rsid w:val="004556D1"/>
    <w:rsid w:val="00455BD9"/>
    <w:rsid w:val="00456A62"/>
    <w:rsid w:val="004602A7"/>
    <w:rsid w:val="00460850"/>
    <w:rsid w:val="00460912"/>
    <w:rsid w:val="00460F14"/>
    <w:rsid w:val="0046118C"/>
    <w:rsid w:val="00461488"/>
    <w:rsid w:val="00461600"/>
    <w:rsid w:val="00461D1B"/>
    <w:rsid w:val="00461DEC"/>
    <w:rsid w:val="004628A7"/>
    <w:rsid w:val="004632C4"/>
    <w:rsid w:val="004633FD"/>
    <w:rsid w:val="00463A8A"/>
    <w:rsid w:val="00463E58"/>
    <w:rsid w:val="004655D1"/>
    <w:rsid w:val="00465DF6"/>
    <w:rsid w:val="0047062E"/>
    <w:rsid w:val="00470A57"/>
    <w:rsid w:val="0047105A"/>
    <w:rsid w:val="0047178C"/>
    <w:rsid w:val="004717C2"/>
    <w:rsid w:val="00471F9A"/>
    <w:rsid w:val="00472474"/>
    <w:rsid w:val="00472E9B"/>
    <w:rsid w:val="00473060"/>
    <w:rsid w:val="00473A8A"/>
    <w:rsid w:val="004740F1"/>
    <w:rsid w:val="00474969"/>
    <w:rsid w:val="004756B5"/>
    <w:rsid w:val="00475756"/>
    <w:rsid w:val="00476614"/>
    <w:rsid w:val="0047676C"/>
    <w:rsid w:val="00476F2D"/>
    <w:rsid w:val="00477137"/>
    <w:rsid w:val="0047727F"/>
    <w:rsid w:val="0047735B"/>
    <w:rsid w:val="0047739C"/>
    <w:rsid w:val="00477690"/>
    <w:rsid w:val="004800E2"/>
    <w:rsid w:val="00480792"/>
    <w:rsid w:val="004807F8"/>
    <w:rsid w:val="0048110B"/>
    <w:rsid w:val="00482660"/>
    <w:rsid w:val="00482B83"/>
    <w:rsid w:val="0048336B"/>
    <w:rsid w:val="0048368F"/>
    <w:rsid w:val="00484659"/>
    <w:rsid w:val="00484BF9"/>
    <w:rsid w:val="004853C5"/>
    <w:rsid w:val="0048573C"/>
    <w:rsid w:val="0048576A"/>
    <w:rsid w:val="00485A67"/>
    <w:rsid w:val="00486693"/>
    <w:rsid w:val="00487150"/>
    <w:rsid w:val="00487528"/>
    <w:rsid w:val="0048757F"/>
    <w:rsid w:val="0048784A"/>
    <w:rsid w:val="00487B56"/>
    <w:rsid w:val="00490324"/>
    <w:rsid w:val="00490721"/>
    <w:rsid w:val="00490751"/>
    <w:rsid w:val="004908CF"/>
    <w:rsid w:val="004908FE"/>
    <w:rsid w:val="00490E46"/>
    <w:rsid w:val="00493FF6"/>
    <w:rsid w:val="00494277"/>
    <w:rsid w:val="004949E0"/>
    <w:rsid w:val="00494DB9"/>
    <w:rsid w:val="00494E42"/>
    <w:rsid w:val="004951F2"/>
    <w:rsid w:val="004955D6"/>
    <w:rsid w:val="00495624"/>
    <w:rsid w:val="00495A9B"/>
    <w:rsid w:val="00497610"/>
    <w:rsid w:val="004979CC"/>
    <w:rsid w:val="00497B00"/>
    <w:rsid w:val="004A004A"/>
    <w:rsid w:val="004A02CA"/>
    <w:rsid w:val="004A09DF"/>
    <w:rsid w:val="004A0BC6"/>
    <w:rsid w:val="004A0F24"/>
    <w:rsid w:val="004A1282"/>
    <w:rsid w:val="004A1547"/>
    <w:rsid w:val="004A2D02"/>
    <w:rsid w:val="004A36F4"/>
    <w:rsid w:val="004A38A7"/>
    <w:rsid w:val="004A3F63"/>
    <w:rsid w:val="004A4021"/>
    <w:rsid w:val="004A4169"/>
    <w:rsid w:val="004A4AC4"/>
    <w:rsid w:val="004A4B3C"/>
    <w:rsid w:val="004A4BC5"/>
    <w:rsid w:val="004A51AD"/>
    <w:rsid w:val="004A5338"/>
    <w:rsid w:val="004A5D21"/>
    <w:rsid w:val="004A6DF1"/>
    <w:rsid w:val="004A736C"/>
    <w:rsid w:val="004A758D"/>
    <w:rsid w:val="004A7D1F"/>
    <w:rsid w:val="004B0A9E"/>
    <w:rsid w:val="004B0F8B"/>
    <w:rsid w:val="004B12F7"/>
    <w:rsid w:val="004B1EEA"/>
    <w:rsid w:val="004B23C0"/>
    <w:rsid w:val="004B2859"/>
    <w:rsid w:val="004B3057"/>
    <w:rsid w:val="004B397E"/>
    <w:rsid w:val="004B3ADC"/>
    <w:rsid w:val="004B3D7D"/>
    <w:rsid w:val="004B4784"/>
    <w:rsid w:val="004B4B9C"/>
    <w:rsid w:val="004B4FEB"/>
    <w:rsid w:val="004B54E0"/>
    <w:rsid w:val="004B7061"/>
    <w:rsid w:val="004B706D"/>
    <w:rsid w:val="004B765D"/>
    <w:rsid w:val="004B77B1"/>
    <w:rsid w:val="004C0042"/>
    <w:rsid w:val="004C02C0"/>
    <w:rsid w:val="004C033F"/>
    <w:rsid w:val="004C085D"/>
    <w:rsid w:val="004C0FB0"/>
    <w:rsid w:val="004C19C2"/>
    <w:rsid w:val="004C2223"/>
    <w:rsid w:val="004C2C99"/>
    <w:rsid w:val="004C2D64"/>
    <w:rsid w:val="004C46B5"/>
    <w:rsid w:val="004C4816"/>
    <w:rsid w:val="004C48DF"/>
    <w:rsid w:val="004C5B65"/>
    <w:rsid w:val="004C6325"/>
    <w:rsid w:val="004C7221"/>
    <w:rsid w:val="004D01CA"/>
    <w:rsid w:val="004D0896"/>
    <w:rsid w:val="004D0B56"/>
    <w:rsid w:val="004D106C"/>
    <w:rsid w:val="004D12E5"/>
    <w:rsid w:val="004D1308"/>
    <w:rsid w:val="004D33D0"/>
    <w:rsid w:val="004D3D9D"/>
    <w:rsid w:val="004D5F5D"/>
    <w:rsid w:val="004D6535"/>
    <w:rsid w:val="004D65AE"/>
    <w:rsid w:val="004D758E"/>
    <w:rsid w:val="004E01A6"/>
    <w:rsid w:val="004E045E"/>
    <w:rsid w:val="004E0675"/>
    <w:rsid w:val="004E068D"/>
    <w:rsid w:val="004E08E2"/>
    <w:rsid w:val="004E091A"/>
    <w:rsid w:val="004E0E78"/>
    <w:rsid w:val="004E1503"/>
    <w:rsid w:val="004E1ADE"/>
    <w:rsid w:val="004E1F44"/>
    <w:rsid w:val="004E2731"/>
    <w:rsid w:val="004E2FC8"/>
    <w:rsid w:val="004E373E"/>
    <w:rsid w:val="004E4273"/>
    <w:rsid w:val="004E42B0"/>
    <w:rsid w:val="004E4A7A"/>
    <w:rsid w:val="004E4AA9"/>
    <w:rsid w:val="004E4B5E"/>
    <w:rsid w:val="004E4D0F"/>
    <w:rsid w:val="004E4EDC"/>
    <w:rsid w:val="004E50A0"/>
    <w:rsid w:val="004E5310"/>
    <w:rsid w:val="004E56AC"/>
    <w:rsid w:val="004E60D1"/>
    <w:rsid w:val="004E6B0E"/>
    <w:rsid w:val="004E741C"/>
    <w:rsid w:val="004E7748"/>
    <w:rsid w:val="004E7F73"/>
    <w:rsid w:val="004F07BF"/>
    <w:rsid w:val="004F09B7"/>
    <w:rsid w:val="004F0A76"/>
    <w:rsid w:val="004F0AE3"/>
    <w:rsid w:val="004F0CB6"/>
    <w:rsid w:val="004F0D23"/>
    <w:rsid w:val="004F1000"/>
    <w:rsid w:val="004F1594"/>
    <w:rsid w:val="004F16BB"/>
    <w:rsid w:val="004F17BC"/>
    <w:rsid w:val="004F2818"/>
    <w:rsid w:val="004F3FA8"/>
    <w:rsid w:val="004F40CD"/>
    <w:rsid w:val="004F4213"/>
    <w:rsid w:val="004F4ADE"/>
    <w:rsid w:val="004F5488"/>
    <w:rsid w:val="004F5704"/>
    <w:rsid w:val="004F5801"/>
    <w:rsid w:val="004F5A5B"/>
    <w:rsid w:val="004F5D2F"/>
    <w:rsid w:val="004F5D81"/>
    <w:rsid w:val="004F5DA0"/>
    <w:rsid w:val="004F6C48"/>
    <w:rsid w:val="004F6E76"/>
    <w:rsid w:val="00500987"/>
    <w:rsid w:val="00500C6C"/>
    <w:rsid w:val="0050199E"/>
    <w:rsid w:val="00501B87"/>
    <w:rsid w:val="005028CB"/>
    <w:rsid w:val="005031D7"/>
    <w:rsid w:val="0050357C"/>
    <w:rsid w:val="00504194"/>
    <w:rsid w:val="00504473"/>
    <w:rsid w:val="0050485D"/>
    <w:rsid w:val="00504D19"/>
    <w:rsid w:val="005051B1"/>
    <w:rsid w:val="00506844"/>
    <w:rsid w:val="00506E73"/>
    <w:rsid w:val="00507385"/>
    <w:rsid w:val="005102F2"/>
    <w:rsid w:val="005105EF"/>
    <w:rsid w:val="005107B4"/>
    <w:rsid w:val="005108DE"/>
    <w:rsid w:val="00510B8B"/>
    <w:rsid w:val="00510DE8"/>
    <w:rsid w:val="00510FFA"/>
    <w:rsid w:val="00511084"/>
    <w:rsid w:val="00511B5C"/>
    <w:rsid w:val="00511ED8"/>
    <w:rsid w:val="0051228A"/>
    <w:rsid w:val="00512698"/>
    <w:rsid w:val="00512810"/>
    <w:rsid w:val="0051308A"/>
    <w:rsid w:val="005130CF"/>
    <w:rsid w:val="005134E4"/>
    <w:rsid w:val="00513748"/>
    <w:rsid w:val="00513A07"/>
    <w:rsid w:val="00513D45"/>
    <w:rsid w:val="00514718"/>
    <w:rsid w:val="00514DC7"/>
    <w:rsid w:val="00514E4E"/>
    <w:rsid w:val="00514FE4"/>
    <w:rsid w:val="00515BD3"/>
    <w:rsid w:val="00516029"/>
    <w:rsid w:val="00516392"/>
    <w:rsid w:val="005166D6"/>
    <w:rsid w:val="00516801"/>
    <w:rsid w:val="00516AC3"/>
    <w:rsid w:val="005176CF"/>
    <w:rsid w:val="00517E37"/>
    <w:rsid w:val="00520183"/>
    <w:rsid w:val="00520410"/>
    <w:rsid w:val="005205A8"/>
    <w:rsid w:val="00521062"/>
    <w:rsid w:val="005220F8"/>
    <w:rsid w:val="005220FF"/>
    <w:rsid w:val="00522B75"/>
    <w:rsid w:val="00522C3F"/>
    <w:rsid w:val="00522C9B"/>
    <w:rsid w:val="005231EA"/>
    <w:rsid w:val="00523C34"/>
    <w:rsid w:val="00523CF7"/>
    <w:rsid w:val="00524739"/>
    <w:rsid w:val="00525AF7"/>
    <w:rsid w:val="00525DBA"/>
    <w:rsid w:val="005266D4"/>
    <w:rsid w:val="00526717"/>
    <w:rsid w:val="00527F1E"/>
    <w:rsid w:val="00530F15"/>
    <w:rsid w:val="0053157F"/>
    <w:rsid w:val="00531884"/>
    <w:rsid w:val="00531CBE"/>
    <w:rsid w:val="00531D16"/>
    <w:rsid w:val="00531FC4"/>
    <w:rsid w:val="0053218D"/>
    <w:rsid w:val="00532840"/>
    <w:rsid w:val="005339C8"/>
    <w:rsid w:val="00533D4E"/>
    <w:rsid w:val="00534178"/>
    <w:rsid w:val="005346FE"/>
    <w:rsid w:val="00534910"/>
    <w:rsid w:val="00534A6D"/>
    <w:rsid w:val="00534C28"/>
    <w:rsid w:val="00535EAD"/>
    <w:rsid w:val="00535FAB"/>
    <w:rsid w:val="00536347"/>
    <w:rsid w:val="0053721B"/>
    <w:rsid w:val="005378EA"/>
    <w:rsid w:val="00537F73"/>
    <w:rsid w:val="005402B6"/>
    <w:rsid w:val="00540501"/>
    <w:rsid w:val="00540C70"/>
    <w:rsid w:val="00541250"/>
    <w:rsid w:val="005417E0"/>
    <w:rsid w:val="00541C50"/>
    <w:rsid w:val="00541C8F"/>
    <w:rsid w:val="005425A5"/>
    <w:rsid w:val="00542871"/>
    <w:rsid w:val="00543196"/>
    <w:rsid w:val="005433F3"/>
    <w:rsid w:val="00543893"/>
    <w:rsid w:val="00544041"/>
    <w:rsid w:val="0054464B"/>
    <w:rsid w:val="005447C3"/>
    <w:rsid w:val="0054488B"/>
    <w:rsid w:val="005453BE"/>
    <w:rsid w:val="005454BF"/>
    <w:rsid w:val="00545F2A"/>
    <w:rsid w:val="005465EA"/>
    <w:rsid w:val="00546650"/>
    <w:rsid w:val="0054668A"/>
    <w:rsid w:val="00546B04"/>
    <w:rsid w:val="00550220"/>
    <w:rsid w:val="00550691"/>
    <w:rsid w:val="005508EB"/>
    <w:rsid w:val="00550B16"/>
    <w:rsid w:val="00550BF3"/>
    <w:rsid w:val="00550CD0"/>
    <w:rsid w:val="00550D5C"/>
    <w:rsid w:val="00550DD5"/>
    <w:rsid w:val="00551561"/>
    <w:rsid w:val="00551876"/>
    <w:rsid w:val="00552025"/>
    <w:rsid w:val="005525FD"/>
    <w:rsid w:val="00552ADC"/>
    <w:rsid w:val="00552D21"/>
    <w:rsid w:val="00553D29"/>
    <w:rsid w:val="00554349"/>
    <w:rsid w:val="0055454B"/>
    <w:rsid w:val="00554AC9"/>
    <w:rsid w:val="005555D0"/>
    <w:rsid w:val="00555854"/>
    <w:rsid w:val="00555A8A"/>
    <w:rsid w:val="0055620E"/>
    <w:rsid w:val="005563DB"/>
    <w:rsid w:val="005566E4"/>
    <w:rsid w:val="0055680B"/>
    <w:rsid w:val="00556CAD"/>
    <w:rsid w:val="0055718E"/>
    <w:rsid w:val="00560A9B"/>
    <w:rsid w:val="00560E16"/>
    <w:rsid w:val="00560E52"/>
    <w:rsid w:val="005611FD"/>
    <w:rsid w:val="0056155F"/>
    <w:rsid w:val="0056190B"/>
    <w:rsid w:val="00561D48"/>
    <w:rsid w:val="0056245E"/>
    <w:rsid w:val="005629B6"/>
    <w:rsid w:val="00562A25"/>
    <w:rsid w:val="00562EA0"/>
    <w:rsid w:val="00563699"/>
    <w:rsid w:val="00563CEF"/>
    <w:rsid w:val="005648E0"/>
    <w:rsid w:val="00564E5D"/>
    <w:rsid w:val="0056519E"/>
    <w:rsid w:val="0056562A"/>
    <w:rsid w:val="00565AD8"/>
    <w:rsid w:val="0056617B"/>
    <w:rsid w:val="00566CBC"/>
    <w:rsid w:val="00566F87"/>
    <w:rsid w:val="00567DD6"/>
    <w:rsid w:val="00570570"/>
    <w:rsid w:val="005718CB"/>
    <w:rsid w:val="00571A2D"/>
    <w:rsid w:val="005726F8"/>
    <w:rsid w:val="00573023"/>
    <w:rsid w:val="0057341A"/>
    <w:rsid w:val="00573425"/>
    <w:rsid w:val="00573DC1"/>
    <w:rsid w:val="00573DDA"/>
    <w:rsid w:val="00574D3C"/>
    <w:rsid w:val="00574E69"/>
    <w:rsid w:val="00574F9B"/>
    <w:rsid w:val="0057596D"/>
    <w:rsid w:val="00575A17"/>
    <w:rsid w:val="00575E3E"/>
    <w:rsid w:val="0057631F"/>
    <w:rsid w:val="00576F5B"/>
    <w:rsid w:val="00576FE2"/>
    <w:rsid w:val="005770F2"/>
    <w:rsid w:val="00577720"/>
    <w:rsid w:val="005802D6"/>
    <w:rsid w:val="005802EE"/>
    <w:rsid w:val="00580A14"/>
    <w:rsid w:val="00580C4B"/>
    <w:rsid w:val="00581228"/>
    <w:rsid w:val="00581ABC"/>
    <w:rsid w:val="005822E0"/>
    <w:rsid w:val="0058261A"/>
    <w:rsid w:val="00582820"/>
    <w:rsid w:val="00582D7F"/>
    <w:rsid w:val="00582E62"/>
    <w:rsid w:val="00583612"/>
    <w:rsid w:val="005837EE"/>
    <w:rsid w:val="00584097"/>
    <w:rsid w:val="005843B3"/>
    <w:rsid w:val="00586763"/>
    <w:rsid w:val="005867D3"/>
    <w:rsid w:val="00586A06"/>
    <w:rsid w:val="00586D06"/>
    <w:rsid w:val="00586F79"/>
    <w:rsid w:val="00587194"/>
    <w:rsid w:val="00587198"/>
    <w:rsid w:val="00587307"/>
    <w:rsid w:val="005874AC"/>
    <w:rsid w:val="00587623"/>
    <w:rsid w:val="00590AD1"/>
    <w:rsid w:val="00590AD2"/>
    <w:rsid w:val="005914D7"/>
    <w:rsid w:val="00591746"/>
    <w:rsid w:val="005918DF"/>
    <w:rsid w:val="00591D3B"/>
    <w:rsid w:val="0059258D"/>
    <w:rsid w:val="0059283F"/>
    <w:rsid w:val="00592A0A"/>
    <w:rsid w:val="00593B8A"/>
    <w:rsid w:val="00594019"/>
    <w:rsid w:val="00594BAE"/>
    <w:rsid w:val="00594E18"/>
    <w:rsid w:val="005955FC"/>
    <w:rsid w:val="00595F9B"/>
    <w:rsid w:val="00596216"/>
    <w:rsid w:val="00596E12"/>
    <w:rsid w:val="00596EFF"/>
    <w:rsid w:val="00597509"/>
    <w:rsid w:val="005A02E7"/>
    <w:rsid w:val="005A0580"/>
    <w:rsid w:val="005A0F13"/>
    <w:rsid w:val="005A1034"/>
    <w:rsid w:val="005A1549"/>
    <w:rsid w:val="005A193D"/>
    <w:rsid w:val="005A1FBC"/>
    <w:rsid w:val="005A26A1"/>
    <w:rsid w:val="005A35A7"/>
    <w:rsid w:val="005A364A"/>
    <w:rsid w:val="005A3B5F"/>
    <w:rsid w:val="005A3D33"/>
    <w:rsid w:val="005A4009"/>
    <w:rsid w:val="005A4340"/>
    <w:rsid w:val="005A49EA"/>
    <w:rsid w:val="005A6198"/>
    <w:rsid w:val="005A697C"/>
    <w:rsid w:val="005A6B17"/>
    <w:rsid w:val="005A6B5C"/>
    <w:rsid w:val="005A7FDA"/>
    <w:rsid w:val="005B029A"/>
    <w:rsid w:val="005B0981"/>
    <w:rsid w:val="005B10D8"/>
    <w:rsid w:val="005B173F"/>
    <w:rsid w:val="005B1775"/>
    <w:rsid w:val="005B1D2E"/>
    <w:rsid w:val="005B293D"/>
    <w:rsid w:val="005B2A83"/>
    <w:rsid w:val="005B2CAB"/>
    <w:rsid w:val="005B3725"/>
    <w:rsid w:val="005B3728"/>
    <w:rsid w:val="005B375F"/>
    <w:rsid w:val="005B3E0C"/>
    <w:rsid w:val="005B441F"/>
    <w:rsid w:val="005B4691"/>
    <w:rsid w:val="005B4D94"/>
    <w:rsid w:val="005B52DA"/>
    <w:rsid w:val="005B575D"/>
    <w:rsid w:val="005B58AD"/>
    <w:rsid w:val="005B5BE2"/>
    <w:rsid w:val="005B5F22"/>
    <w:rsid w:val="005B5F2E"/>
    <w:rsid w:val="005B7308"/>
    <w:rsid w:val="005B78B0"/>
    <w:rsid w:val="005C0192"/>
    <w:rsid w:val="005C1963"/>
    <w:rsid w:val="005C2570"/>
    <w:rsid w:val="005C2E81"/>
    <w:rsid w:val="005C32D4"/>
    <w:rsid w:val="005C4257"/>
    <w:rsid w:val="005C47D9"/>
    <w:rsid w:val="005C4F98"/>
    <w:rsid w:val="005C5046"/>
    <w:rsid w:val="005C5470"/>
    <w:rsid w:val="005C5667"/>
    <w:rsid w:val="005C56F7"/>
    <w:rsid w:val="005C600E"/>
    <w:rsid w:val="005C6258"/>
    <w:rsid w:val="005C6750"/>
    <w:rsid w:val="005C6836"/>
    <w:rsid w:val="005C6D78"/>
    <w:rsid w:val="005C6E94"/>
    <w:rsid w:val="005C7154"/>
    <w:rsid w:val="005C71AC"/>
    <w:rsid w:val="005C750D"/>
    <w:rsid w:val="005C7679"/>
    <w:rsid w:val="005C7AC2"/>
    <w:rsid w:val="005C7DB0"/>
    <w:rsid w:val="005D0535"/>
    <w:rsid w:val="005D10A9"/>
    <w:rsid w:val="005D199B"/>
    <w:rsid w:val="005D2397"/>
    <w:rsid w:val="005D2968"/>
    <w:rsid w:val="005D326D"/>
    <w:rsid w:val="005D32FA"/>
    <w:rsid w:val="005D3DF5"/>
    <w:rsid w:val="005D3FBB"/>
    <w:rsid w:val="005D4860"/>
    <w:rsid w:val="005D4BDD"/>
    <w:rsid w:val="005D4C24"/>
    <w:rsid w:val="005D550D"/>
    <w:rsid w:val="005D5728"/>
    <w:rsid w:val="005D576F"/>
    <w:rsid w:val="005D5BFC"/>
    <w:rsid w:val="005D5CCA"/>
    <w:rsid w:val="005D65B3"/>
    <w:rsid w:val="005D6D11"/>
    <w:rsid w:val="005D7A6E"/>
    <w:rsid w:val="005E0250"/>
    <w:rsid w:val="005E038D"/>
    <w:rsid w:val="005E2181"/>
    <w:rsid w:val="005E27D5"/>
    <w:rsid w:val="005E390F"/>
    <w:rsid w:val="005E6083"/>
    <w:rsid w:val="005E60F3"/>
    <w:rsid w:val="005E63E2"/>
    <w:rsid w:val="005E67D3"/>
    <w:rsid w:val="005E716D"/>
    <w:rsid w:val="005E7D5A"/>
    <w:rsid w:val="005F1363"/>
    <w:rsid w:val="005F1D5B"/>
    <w:rsid w:val="005F212F"/>
    <w:rsid w:val="005F277E"/>
    <w:rsid w:val="005F295F"/>
    <w:rsid w:val="005F3207"/>
    <w:rsid w:val="005F3858"/>
    <w:rsid w:val="005F4781"/>
    <w:rsid w:val="005F4CAB"/>
    <w:rsid w:val="005F589F"/>
    <w:rsid w:val="005F59A8"/>
    <w:rsid w:val="005F5BC3"/>
    <w:rsid w:val="005F6027"/>
    <w:rsid w:val="005F69A7"/>
    <w:rsid w:val="005F7EED"/>
    <w:rsid w:val="0060004A"/>
    <w:rsid w:val="0060006B"/>
    <w:rsid w:val="006001AB"/>
    <w:rsid w:val="00600371"/>
    <w:rsid w:val="006004AA"/>
    <w:rsid w:val="00600CCA"/>
    <w:rsid w:val="00601F97"/>
    <w:rsid w:val="006027B2"/>
    <w:rsid w:val="00602A99"/>
    <w:rsid w:val="006033C1"/>
    <w:rsid w:val="00603748"/>
    <w:rsid w:val="00604407"/>
    <w:rsid w:val="00604B8B"/>
    <w:rsid w:val="00604CFF"/>
    <w:rsid w:val="00604D9D"/>
    <w:rsid w:val="006050E9"/>
    <w:rsid w:val="00605201"/>
    <w:rsid w:val="00605B83"/>
    <w:rsid w:val="00605F41"/>
    <w:rsid w:val="00606132"/>
    <w:rsid w:val="0060638C"/>
    <w:rsid w:val="00606556"/>
    <w:rsid w:val="006069A2"/>
    <w:rsid w:val="00607203"/>
    <w:rsid w:val="0060754F"/>
    <w:rsid w:val="0060761B"/>
    <w:rsid w:val="00607F5C"/>
    <w:rsid w:val="00610503"/>
    <w:rsid w:val="00610544"/>
    <w:rsid w:val="006106BE"/>
    <w:rsid w:val="0061082B"/>
    <w:rsid w:val="00610C83"/>
    <w:rsid w:val="00610F5B"/>
    <w:rsid w:val="006125F8"/>
    <w:rsid w:val="00612D37"/>
    <w:rsid w:val="0061353B"/>
    <w:rsid w:val="006139F8"/>
    <w:rsid w:val="006141D6"/>
    <w:rsid w:val="0061436A"/>
    <w:rsid w:val="006144C0"/>
    <w:rsid w:val="00614F74"/>
    <w:rsid w:val="0061517B"/>
    <w:rsid w:val="006153B0"/>
    <w:rsid w:val="0061583A"/>
    <w:rsid w:val="006170D8"/>
    <w:rsid w:val="00617388"/>
    <w:rsid w:val="0061793C"/>
    <w:rsid w:val="00617E1A"/>
    <w:rsid w:val="00620C97"/>
    <w:rsid w:val="0062120C"/>
    <w:rsid w:val="0062182E"/>
    <w:rsid w:val="00621EFD"/>
    <w:rsid w:val="00621FD8"/>
    <w:rsid w:val="0062291C"/>
    <w:rsid w:val="00624F83"/>
    <w:rsid w:val="00625DA4"/>
    <w:rsid w:val="006265B3"/>
    <w:rsid w:val="0062670B"/>
    <w:rsid w:val="006268F8"/>
    <w:rsid w:val="00626AAF"/>
    <w:rsid w:val="00627125"/>
    <w:rsid w:val="00630246"/>
    <w:rsid w:val="00630518"/>
    <w:rsid w:val="00630587"/>
    <w:rsid w:val="00631665"/>
    <w:rsid w:val="006323C9"/>
    <w:rsid w:val="00632748"/>
    <w:rsid w:val="006327BE"/>
    <w:rsid w:val="00632E3F"/>
    <w:rsid w:val="00632F99"/>
    <w:rsid w:val="00633521"/>
    <w:rsid w:val="00633BA0"/>
    <w:rsid w:val="0063411F"/>
    <w:rsid w:val="00634F0B"/>
    <w:rsid w:val="0063595A"/>
    <w:rsid w:val="00635A90"/>
    <w:rsid w:val="00635F71"/>
    <w:rsid w:val="00636425"/>
    <w:rsid w:val="006375FA"/>
    <w:rsid w:val="00637F54"/>
    <w:rsid w:val="00640613"/>
    <w:rsid w:val="00640EDC"/>
    <w:rsid w:val="00641059"/>
    <w:rsid w:val="0064115F"/>
    <w:rsid w:val="006413B6"/>
    <w:rsid w:val="0064179D"/>
    <w:rsid w:val="00641A79"/>
    <w:rsid w:val="00641D3E"/>
    <w:rsid w:val="00641F2E"/>
    <w:rsid w:val="00642511"/>
    <w:rsid w:val="0064266D"/>
    <w:rsid w:val="006433AD"/>
    <w:rsid w:val="006433FC"/>
    <w:rsid w:val="006434FF"/>
    <w:rsid w:val="00644604"/>
    <w:rsid w:val="006461E5"/>
    <w:rsid w:val="00646394"/>
    <w:rsid w:val="006467A3"/>
    <w:rsid w:val="00647039"/>
    <w:rsid w:val="0064761C"/>
    <w:rsid w:val="00647689"/>
    <w:rsid w:val="0065045B"/>
    <w:rsid w:val="00650B2A"/>
    <w:rsid w:val="00650B2E"/>
    <w:rsid w:val="00650BAD"/>
    <w:rsid w:val="0065136A"/>
    <w:rsid w:val="00651467"/>
    <w:rsid w:val="00651520"/>
    <w:rsid w:val="00651F35"/>
    <w:rsid w:val="00652FE9"/>
    <w:rsid w:val="006534E9"/>
    <w:rsid w:val="006534FB"/>
    <w:rsid w:val="00653598"/>
    <w:rsid w:val="0065370A"/>
    <w:rsid w:val="00654FCF"/>
    <w:rsid w:val="00655286"/>
    <w:rsid w:val="006556B4"/>
    <w:rsid w:val="0065573A"/>
    <w:rsid w:val="006566A4"/>
    <w:rsid w:val="00656EE3"/>
    <w:rsid w:val="00657034"/>
    <w:rsid w:val="00661441"/>
    <w:rsid w:val="0066148C"/>
    <w:rsid w:val="00662129"/>
    <w:rsid w:val="0066262C"/>
    <w:rsid w:val="00662700"/>
    <w:rsid w:val="00662A62"/>
    <w:rsid w:val="00662FC0"/>
    <w:rsid w:val="006631A4"/>
    <w:rsid w:val="00663A2B"/>
    <w:rsid w:val="00663A7A"/>
    <w:rsid w:val="0066496E"/>
    <w:rsid w:val="00664C63"/>
    <w:rsid w:val="00665177"/>
    <w:rsid w:val="006654FC"/>
    <w:rsid w:val="006663F1"/>
    <w:rsid w:val="00666485"/>
    <w:rsid w:val="00666D10"/>
    <w:rsid w:val="00666E90"/>
    <w:rsid w:val="00667C4A"/>
    <w:rsid w:val="00667F55"/>
    <w:rsid w:val="00670A7C"/>
    <w:rsid w:val="00670D14"/>
    <w:rsid w:val="00670FA9"/>
    <w:rsid w:val="0067104D"/>
    <w:rsid w:val="00671D36"/>
    <w:rsid w:val="006720D1"/>
    <w:rsid w:val="006720F7"/>
    <w:rsid w:val="00672F1A"/>
    <w:rsid w:val="00674272"/>
    <w:rsid w:val="006743D6"/>
    <w:rsid w:val="00675031"/>
    <w:rsid w:val="00675197"/>
    <w:rsid w:val="00675276"/>
    <w:rsid w:val="0067528D"/>
    <w:rsid w:val="00675483"/>
    <w:rsid w:val="006754A7"/>
    <w:rsid w:val="0067575A"/>
    <w:rsid w:val="00675ABB"/>
    <w:rsid w:val="006760D8"/>
    <w:rsid w:val="006764F3"/>
    <w:rsid w:val="0067726D"/>
    <w:rsid w:val="00677DF3"/>
    <w:rsid w:val="00680BF8"/>
    <w:rsid w:val="00680CF9"/>
    <w:rsid w:val="0068321F"/>
    <w:rsid w:val="00683383"/>
    <w:rsid w:val="00684D9E"/>
    <w:rsid w:val="0068515E"/>
    <w:rsid w:val="00685D10"/>
    <w:rsid w:val="00685E66"/>
    <w:rsid w:val="0068602E"/>
    <w:rsid w:val="00686E00"/>
    <w:rsid w:val="00687018"/>
    <w:rsid w:val="0068733E"/>
    <w:rsid w:val="00687821"/>
    <w:rsid w:val="0069162B"/>
    <w:rsid w:val="0069174C"/>
    <w:rsid w:val="00691F76"/>
    <w:rsid w:val="0069250D"/>
    <w:rsid w:val="00692EC3"/>
    <w:rsid w:val="00692FD5"/>
    <w:rsid w:val="00693916"/>
    <w:rsid w:val="00694166"/>
    <w:rsid w:val="00695437"/>
    <w:rsid w:val="00695771"/>
    <w:rsid w:val="006959EB"/>
    <w:rsid w:val="00695EE8"/>
    <w:rsid w:val="00695FF4"/>
    <w:rsid w:val="006965DC"/>
    <w:rsid w:val="0069665D"/>
    <w:rsid w:val="006966F9"/>
    <w:rsid w:val="006967D0"/>
    <w:rsid w:val="0069699B"/>
    <w:rsid w:val="00696CC1"/>
    <w:rsid w:val="00697543"/>
    <w:rsid w:val="0069761E"/>
    <w:rsid w:val="006A0992"/>
    <w:rsid w:val="006A0AF1"/>
    <w:rsid w:val="006A0BB9"/>
    <w:rsid w:val="006A157F"/>
    <w:rsid w:val="006A1599"/>
    <w:rsid w:val="006A1625"/>
    <w:rsid w:val="006A181B"/>
    <w:rsid w:val="006A1E4F"/>
    <w:rsid w:val="006A2389"/>
    <w:rsid w:val="006A23AF"/>
    <w:rsid w:val="006A2627"/>
    <w:rsid w:val="006A3028"/>
    <w:rsid w:val="006A30DD"/>
    <w:rsid w:val="006A31B9"/>
    <w:rsid w:val="006A378A"/>
    <w:rsid w:val="006A3AEC"/>
    <w:rsid w:val="006A4737"/>
    <w:rsid w:val="006A4867"/>
    <w:rsid w:val="006A49C9"/>
    <w:rsid w:val="006A4F4E"/>
    <w:rsid w:val="006A5AA5"/>
    <w:rsid w:val="006A5D5D"/>
    <w:rsid w:val="006A5E15"/>
    <w:rsid w:val="006A5F6A"/>
    <w:rsid w:val="006A5F76"/>
    <w:rsid w:val="006A66D3"/>
    <w:rsid w:val="006A6FCD"/>
    <w:rsid w:val="006A764C"/>
    <w:rsid w:val="006B0315"/>
    <w:rsid w:val="006B05FA"/>
    <w:rsid w:val="006B08CD"/>
    <w:rsid w:val="006B1A4D"/>
    <w:rsid w:val="006B1BF6"/>
    <w:rsid w:val="006B1E3A"/>
    <w:rsid w:val="006B2231"/>
    <w:rsid w:val="006B3D46"/>
    <w:rsid w:val="006B3D48"/>
    <w:rsid w:val="006B4F7B"/>
    <w:rsid w:val="006B5F12"/>
    <w:rsid w:val="006B6382"/>
    <w:rsid w:val="006B657E"/>
    <w:rsid w:val="006B66CD"/>
    <w:rsid w:val="006B67BD"/>
    <w:rsid w:val="006B6A32"/>
    <w:rsid w:val="006B70B4"/>
    <w:rsid w:val="006B7556"/>
    <w:rsid w:val="006B7D30"/>
    <w:rsid w:val="006B7E59"/>
    <w:rsid w:val="006C014B"/>
    <w:rsid w:val="006C029D"/>
    <w:rsid w:val="006C07DD"/>
    <w:rsid w:val="006C1263"/>
    <w:rsid w:val="006C12D0"/>
    <w:rsid w:val="006C1DBB"/>
    <w:rsid w:val="006C23C8"/>
    <w:rsid w:val="006C23F2"/>
    <w:rsid w:val="006C2CD0"/>
    <w:rsid w:val="006C30DC"/>
    <w:rsid w:val="006C337B"/>
    <w:rsid w:val="006C38A4"/>
    <w:rsid w:val="006C3E70"/>
    <w:rsid w:val="006C41B0"/>
    <w:rsid w:val="006C4774"/>
    <w:rsid w:val="006C49BF"/>
    <w:rsid w:val="006C4BDC"/>
    <w:rsid w:val="006C50CE"/>
    <w:rsid w:val="006C5326"/>
    <w:rsid w:val="006C55E5"/>
    <w:rsid w:val="006C6EBE"/>
    <w:rsid w:val="006C77B5"/>
    <w:rsid w:val="006C7C0B"/>
    <w:rsid w:val="006D1BEF"/>
    <w:rsid w:val="006D2D22"/>
    <w:rsid w:val="006D3270"/>
    <w:rsid w:val="006D33AD"/>
    <w:rsid w:val="006D3F0D"/>
    <w:rsid w:val="006D542D"/>
    <w:rsid w:val="006D6259"/>
    <w:rsid w:val="006D648F"/>
    <w:rsid w:val="006D67ED"/>
    <w:rsid w:val="006D7409"/>
    <w:rsid w:val="006D745C"/>
    <w:rsid w:val="006D7626"/>
    <w:rsid w:val="006E007B"/>
    <w:rsid w:val="006E0323"/>
    <w:rsid w:val="006E10CB"/>
    <w:rsid w:val="006E13BF"/>
    <w:rsid w:val="006E1802"/>
    <w:rsid w:val="006E1948"/>
    <w:rsid w:val="006E19B7"/>
    <w:rsid w:val="006E1A3E"/>
    <w:rsid w:val="006E1BE8"/>
    <w:rsid w:val="006E1D2F"/>
    <w:rsid w:val="006E240E"/>
    <w:rsid w:val="006E2784"/>
    <w:rsid w:val="006E27E3"/>
    <w:rsid w:val="006E2E46"/>
    <w:rsid w:val="006E34BC"/>
    <w:rsid w:val="006E36A7"/>
    <w:rsid w:val="006E4EFC"/>
    <w:rsid w:val="006E54DB"/>
    <w:rsid w:val="006E56F8"/>
    <w:rsid w:val="006E77E2"/>
    <w:rsid w:val="006E7C69"/>
    <w:rsid w:val="006F0482"/>
    <w:rsid w:val="006F0A6A"/>
    <w:rsid w:val="006F1318"/>
    <w:rsid w:val="006F1C6A"/>
    <w:rsid w:val="006F2875"/>
    <w:rsid w:val="006F34FF"/>
    <w:rsid w:val="006F4593"/>
    <w:rsid w:val="006F6226"/>
    <w:rsid w:val="006F626A"/>
    <w:rsid w:val="006F65DC"/>
    <w:rsid w:val="006F66A3"/>
    <w:rsid w:val="006F68E9"/>
    <w:rsid w:val="006F6FAD"/>
    <w:rsid w:val="006F7199"/>
    <w:rsid w:val="006F72F6"/>
    <w:rsid w:val="006F74AC"/>
    <w:rsid w:val="006F74F1"/>
    <w:rsid w:val="006F7606"/>
    <w:rsid w:val="006F77FB"/>
    <w:rsid w:val="007004AB"/>
    <w:rsid w:val="007004DD"/>
    <w:rsid w:val="007009B0"/>
    <w:rsid w:val="00700E9A"/>
    <w:rsid w:val="00701903"/>
    <w:rsid w:val="00701A64"/>
    <w:rsid w:val="00702B5E"/>
    <w:rsid w:val="00702C2D"/>
    <w:rsid w:val="00704087"/>
    <w:rsid w:val="007047AB"/>
    <w:rsid w:val="007054BA"/>
    <w:rsid w:val="0070559A"/>
    <w:rsid w:val="00705E12"/>
    <w:rsid w:val="00705E6D"/>
    <w:rsid w:val="00705F81"/>
    <w:rsid w:val="00706B59"/>
    <w:rsid w:val="00707167"/>
    <w:rsid w:val="00707A8C"/>
    <w:rsid w:val="0071017D"/>
    <w:rsid w:val="0071092D"/>
    <w:rsid w:val="00710ECF"/>
    <w:rsid w:val="007115B7"/>
    <w:rsid w:val="00713056"/>
    <w:rsid w:val="007131AB"/>
    <w:rsid w:val="007137EE"/>
    <w:rsid w:val="00713971"/>
    <w:rsid w:val="0071398F"/>
    <w:rsid w:val="00713AAE"/>
    <w:rsid w:val="00713FD3"/>
    <w:rsid w:val="007147BB"/>
    <w:rsid w:val="00717997"/>
    <w:rsid w:val="00717A9B"/>
    <w:rsid w:val="00720B95"/>
    <w:rsid w:val="00720D8D"/>
    <w:rsid w:val="0072162A"/>
    <w:rsid w:val="00721CCD"/>
    <w:rsid w:val="00721FB2"/>
    <w:rsid w:val="00722F72"/>
    <w:rsid w:val="007235E5"/>
    <w:rsid w:val="00723792"/>
    <w:rsid w:val="00723AF7"/>
    <w:rsid w:val="00723CD1"/>
    <w:rsid w:val="00723F7C"/>
    <w:rsid w:val="00724637"/>
    <w:rsid w:val="00724B25"/>
    <w:rsid w:val="00724FEA"/>
    <w:rsid w:val="00726016"/>
    <w:rsid w:val="00726928"/>
    <w:rsid w:val="00726CC3"/>
    <w:rsid w:val="0072714F"/>
    <w:rsid w:val="00727540"/>
    <w:rsid w:val="0072763B"/>
    <w:rsid w:val="00727D0D"/>
    <w:rsid w:val="00727D37"/>
    <w:rsid w:val="00730450"/>
    <w:rsid w:val="00730A53"/>
    <w:rsid w:val="0073107D"/>
    <w:rsid w:val="007316D8"/>
    <w:rsid w:val="00731B52"/>
    <w:rsid w:val="007324B5"/>
    <w:rsid w:val="00732C08"/>
    <w:rsid w:val="0073344D"/>
    <w:rsid w:val="00733AA5"/>
    <w:rsid w:val="00733C64"/>
    <w:rsid w:val="007347CF"/>
    <w:rsid w:val="00734D9B"/>
    <w:rsid w:val="00734FE7"/>
    <w:rsid w:val="0073527D"/>
    <w:rsid w:val="00735E7B"/>
    <w:rsid w:val="00736021"/>
    <w:rsid w:val="00736E44"/>
    <w:rsid w:val="0073740C"/>
    <w:rsid w:val="0073762B"/>
    <w:rsid w:val="00737667"/>
    <w:rsid w:val="00737890"/>
    <w:rsid w:val="0073798E"/>
    <w:rsid w:val="00737B74"/>
    <w:rsid w:val="007404AB"/>
    <w:rsid w:val="0074056A"/>
    <w:rsid w:val="00740843"/>
    <w:rsid w:val="00740A9C"/>
    <w:rsid w:val="00740C44"/>
    <w:rsid w:val="00740D85"/>
    <w:rsid w:val="00740E17"/>
    <w:rsid w:val="00741390"/>
    <w:rsid w:val="00741410"/>
    <w:rsid w:val="0074180B"/>
    <w:rsid w:val="007418E7"/>
    <w:rsid w:val="00741AC9"/>
    <w:rsid w:val="00741EE5"/>
    <w:rsid w:val="00742263"/>
    <w:rsid w:val="0074228C"/>
    <w:rsid w:val="00742479"/>
    <w:rsid w:val="007425CA"/>
    <w:rsid w:val="00742B52"/>
    <w:rsid w:val="00743608"/>
    <w:rsid w:val="007436AA"/>
    <w:rsid w:val="00743732"/>
    <w:rsid w:val="007447FE"/>
    <w:rsid w:val="00745334"/>
    <w:rsid w:val="0074548B"/>
    <w:rsid w:val="00747B94"/>
    <w:rsid w:val="00750509"/>
    <w:rsid w:val="007506E3"/>
    <w:rsid w:val="00750A4C"/>
    <w:rsid w:val="00750B9B"/>
    <w:rsid w:val="00750DFD"/>
    <w:rsid w:val="00751814"/>
    <w:rsid w:val="007520A0"/>
    <w:rsid w:val="0075256F"/>
    <w:rsid w:val="0075262E"/>
    <w:rsid w:val="00752B16"/>
    <w:rsid w:val="007539D8"/>
    <w:rsid w:val="00753DC0"/>
    <w:rsid w:val="0075406F"/>
    <w:rsid w:val="0075412D"/>
    <w:rsid w:val="007544DB"/>
    <w:rsid w:val="00755486"/>
    <w:rsid w:val="00755839"/>
    <w:rsid w:val="00756AEE"/>
    <w:rsid w:val="0075736F"/>
    <w:rsid w:val="0075785E"/>
    <w:rsid w:val="00757D6B"/>
    <w:rsid w:val="00760A43"/>
    <w:rsid w:val="00760D67"/>
    <w:rsid w:val="007610C1"/>
    <w:rsid w:val="00761547"/>
    <w:rsid w:val="0076187D"/>
    <w:rsid w:val="00763413"/>
    <w:rsid w:val="0076366F"/>
    <w:rsid w:val="007637E4"/>
    <w:rsid w:val="0076397D"/>
    <w:rsid w:val="00764B1D"/>
    <w:rsid w:val="00764C36"/>
    <w:rsid w:val="00764EE5"/>
    <w:rsid w:val="00764F17"/>
    <w:rsid w:val="00765B95"/>
    <w:rsid w:val="00765BBB"/>
    <w:rsid w:val="007667E1"/>
    <w:rsid w:val="00766C87"/>
    <w:rsid w:val="0076784A"/>
    <w:rsid w:val="00767D4C"/>
    <w:rsid w:val="00770BF4"/>
    <w:rsid w:val="00770C90"/>
    <w:rsid w:val="00770DEC"/>
    <w:rsid w:val="00771535"/>
    <w:rsid w:val="007717FC"/>
    <w:rsid w:val="00771D6A"/>
    <w:rsid w:val="00771FA2"/>
    <w:rsid w:val="007720DE"/>
    <w:rsid w:val="00772AF4"/>
    <w:rsid w:val="00773117"/>
    <w:rsid w:val="00773B65"/>
    <w:rsid w:val="00773D48"/>
    <w:rsid w:val="00774A11"/>
    <w:rsid w:val="00774B85"/>
    <w:rsid w:val="00775820"/>
    <w:rsid w:val="00775DE4"/>
    <w:rsid w:val="00776E0D"/>
    <w:rsid w:val="00777B67"/>
    <w:rsid w:val="00777C01"/>
    <w:rsid w:val="00777FAC"/>
    <w:rsid w:val="007800A8"/>
    <w:rsid w:val="0078079D"/>
    <w:rsid w:val="00780FD4"/>
    <w:rsid w:val="007825FE"/>
    <w:rsid w:val="007834CD"/>
    <w:rsid w:val="007835F3"/>
    <w:rsid w:val="00783637"/>
    <w:rsid w:val="007848F0"/>
    <w:rsid w:val="007875D3"/>
    <w:rsid w:val="00790030"/>
    <w:rsid w:val="0079035D"/>
    <w:rsid w:val="00790884"/>
    <w:rsid w:val="00790B9A"/>
    <w:rsid w:val="007910FA"/>
    <w:rsid w:val="007914EF"/>
    <w:rsid w:val="007918AE"/>
    <w:rsid w:val="00791BE5"/>
    <w:rsid w:val="00792DFF"/>
    <w:rsid w:val="0079305C"/>
    <w:rsid w:val="007941DB"/>
    <w:rsid w:val="0079574F"/>
    <w:rsid w:val="00795E5D"/>
    <w:rsid w:val="00796148"/>
    <w:rsid w:val="00796540"/>
    <w:rsid w:val="007965FB"/>
    <w:rsid w:val="00797CF6"/>
    <w:rsid w:val="007A0F9E"/>
    <w:rsid w:val="007A137C"/>
    <w:rsid w:val="007A1627"/>
    <w:rsid w:val="007A1FC9"/>
    <w:rsid w:val="007A24BA"/>
    <w:rsid w:val="007A297F"/>
    <w:rsid w:val="007A31AF"/>
    <w:rsid w:val="007A45FD"/>
    <w:rsid w:val="007A4991"/>
    <w:rsid w:val="007A4BC4"/>
    <w:rsid w:val="007A4D78"/>
    <w:rsid w:val="007A55DB"/>
    <w:rsid w:val="007A6518"/>
    <w:rsid w:val="007A6F53"/>
    <w:rsid w:val="007A72C5"/>
    <w:rsid w:val="007A76C6"/>
    <w:rsid w:val="007A7A9C"/>
    <w:rsid w:val="007B1E68"/>
    <w:rsid w:val="007B20D0"/>
    <w:rsid w:val="007B2326"/>
    <w:rsid w:val="007B2A07"/>
    <w:rsid w:val="007B329F"/>
    <w:rsid w:val="007B3378"/>
    <w:rsid w:val="007B38DD"/>
    <w:rsid w:val="007B3B64"/>
    <w:rsid w:val="007B3BD7"/>
    <w:rsid w:val="007B41E8"/>
    <w:rsid w:val="007B4618"/>
    <w:rsid w:val="007B514C"/>
    <w:rsid w:val="007B5591"/>
    <w:rsid w:val="007B5CB1"/>
    <w:rsid w:val="007B6719"/>
    <w:rsid w:val="007B6F21"/>
    <w:rsid w:val="007B7B4D"/>
    <w:rsid w:val="007C0150"/>
    <w:rsid w:val="007C0162"/>
    <w:rsid w:val="007C06EB"/>
    <w:rsid w:val="007C0F32"/>
    <w:rsid w:val="007C1893"/>
    <w:rsid w:val="007C280A"/>
    <w:rsid w:val="007C33FA"/>
    <w:rsid w:val="007C34F7"/>
    <w:rsid w:val="007C3BA2"/>
    <w:rsid w:val="007C44AB"/>
    <w:rsid w:val="007C4F02"/>
    <w:rsid w:val="007C5F4A"/>
    <w:rsid w:val="007C628F"/>
    <w:rsid w:val="007C6629"/>
    <w:rsid w:val="007C743D"/>
    <w:rsid w:val="007C755D"/>
    <w:rsid w:val="007C7676"/>
    <w:rsid w:val="007C7B53"/>
    <w:rsid w:val="007D078C"/>
    <w:rsid w:val="007D0D77"/>
    <w:rsid w:val="007D1110"/>
    <w:rsid w:val="007D14FD"/>
    <w:rsid w:val="007D15A2"/>
    <w:rsid w:val="007D164F"/>
    <w:rsid w:val="007D18D2"/>
    <w:rsid w:val="007D19F2"/>
    <w:rsid w:val="007D1E85"/>
    <w:rsid w:val="007D274A"/>
    <w:rsid w:val="007D331F"/>
    <w:rsid w:val="007D34F8"/>
    <w:rsid w:val="007D4140"/>
    <w:rsid w:val="007D57C0"/>
    <w:rsid w:val="007D585F"/>
    <w:rsid w:val="007D6A88"/>
    <w:rsid w:val="007D6CE4"/>
    <w:rsid w:val="007D6D70"/>
    <w:rsid w:val="007D74C0"/>
    <w:rsid w:val="007D7B3D"/>
    <w:rsid w:val="007E0F0F"/>
    <w:rsid w:val="007E1403"/>
    <w:rsid w:val="007E17E1"/>
    <w:rsid w:val="007E1B19"/>
    <w:rsid w:val="007E28CB"/>
    <w:rsid w:val="007E2946"/>
    <w:rsid w:val="007E2A69"/>
    <w:rsid w:val="007E2D9F"/>
    <w:rsid w:val="007E3173"/>
    <w:rsid w:val="007E35A0"/>
    <w:rsid w:val="007E3964"/>
    <w:rsid w:val="007E3D35"/>
    <w:rsid w:val="007E3D98"/>
    <w:rsid w:val="007E4AFE"/>
    <w:rsid w:val="007E4F4E"/>
    <w:rsid w:val="007E5BA5"/>
    <w:rsid w:val="007E5D26"/>
    <w:rsid w:val="007E5EA9"/>
    <w:rsid w:val="007E7652"/>
    <w:rsid w:val="007E7967"/>
    <w:rsid w:val="007E7C0D"/>
    <w:rsid w:val="007F06B0"/>
    <w:rsid w:val="007F0E97"/>
    <w:rsid w:val="007F1325"/>
    <w:rsid w:val="007F1366"/>
    <w:rsid w:val="007F1868"/>
    <w:rsid w:val="007F1F54"/>
    <w:rsid w:val="007F1F6A"/>
    <w:rsid w:val="007F2468"/>
    <w:rsid w:val="007F26F6"/>
    <w:rsid w:val="007F28FA"/>
    <w:rsid w:val="007F2AAA"/>
    <w:rsid w:val="007F2D1A"/>
    <w:rsid w:val="007F315F"/>
    <w:rsid w:val="007F3304"/>
    <w:rsid w:val="007F3B94"/>
    <w:rsid w:val="007F433D"/>
    <w:rsid w:val="007F48DA"/>
    <w:rsid w:val="007F50FD"/>
    <w:rsid w:val="007F5628"/>
    <w:rsid w:val="007F58EE"/>
    <w:rsid w:val="007F5A2C"/>
    <w:rsid w:val="007F5C83"/>
    <w:rsid w:val="007F6223"/>
    <w:rsid w:val="007F65FA"/>
    <w:rsid w:val="007F68A1"/>
    <w:rsid w:val="007F7CF5"/>
    <w:rsid w:val="0080031B"/>
    <w:rsid w:val="00801136"/>
    <w:rsid w:val="00801797"/>
    <w:rsid w:val="008018AE"/>
    <w:rsid w:val="00801924"/>
    <w:rsid w:val="00801B6F"/>
    <w:rsid w:val="00801F3D"/>
    <w:rsid w:val="00802262"/>
    <w:rsid w:val="00802284"/>
    <w:rsid w:val="008025A7"/>
    <w:rsid w:val="00802DAE"/>
    <w:rsid w:val="00803784"/>
    <w:rsid w:val="008039EF"/>
    <w:rsid w:val="00804214"/>
    <w:rsid w:val="008042B2"/>
    <w:rsid w:val="008046FC"/>
    <w:rsid w:val="00805A09"/>
    <w:rsid w:val="00805AF4"/>
    <w:rsid w:val="008062FB"/>
    <w:rsid w:val="0080651C"/>
    <w:rsid w:val="00806F6F"/>
    <w:rsid w:val="00807267"/>
    <w:rsid w:val="008072A7"/>
    <w:rsid w:val="00807488"/>
    <w:rsid w:val="00807C5E"/>
    <w:rsid w:val="0081009D"/>
    <w:rsid w:val="008106A5"/>
    <w:rsid w:val="008106A7"/>
    <w:rsid w:val="0081131E"/>
    <w:rsid w:val="008113AD"/>
    <w:rsid w:val="00811750"/>
    <w:rsid w:val="00811779"/>
    <w:rsid w:val="008125C9"/>
    <w:rsid w:val="00812D2B"/>
    <w:rsid w:val="008147AD"/>
    <w:rsid w:val="0081512D"/>
    <w:rsid w:val="00815327"/>
    <w:rsid w:val="00815F0A"/>
    <w:rsid w:val="00816147"/>
    <w:rsid w:val="008164B2"/>
    <w:rsid w:val="00816A59"/>
    <w:rsid w:val="00817007"/>
    <w:rsid w:val="008172FE"/>
    <w:rsid w:val="00817310"/>
    <w:rsid w:val="008207E0"/>
    <w:rsid w:val="00820E0A"/>
    <w:rsid w:val="00820FD7"/>
    <w:rsid w:val="008210C3"/>
    <w:rsid w:val="00822493"/>
    <w:rsid w:val="00822933"/>
    <w:rsid w:val="00822F03"/>
    <w:rsid w:val="008233C4"/>
    <w:rsid w:val="00823ED4"/>
    <w:rsid w:val="008241DA"/>
    <w:rsid w:val="008245F5"/>
    <w:rsid w:val="00824FBC"/>
    <w:rsid w:val="0082504C"/>
    <w:rsid w:val="008264BF"/>
    <w:rsid w:val="008265C3"/>
    <w:rsid w:val="00826EAB"/>
    <w:rsid w:val="008271FB"/>
    <w:rsid w:val="008273FB"/>
    <w:rsid w:val="00827830"/>
    <w:rsid w:val="00827908"/>
    <w:rsid w:val="00827C95"/>
    <w:rsid w:val="00827F13"/>
    <w:rsid w:val="008304D8"/>
    <w:rsid w:val="00830A39"/>
    <w:rsid w:val="00830CE2"/>
    <w:rsid w:val="00830D99"/>
    <w:rsid w:val="0083182B"/>
    <w:rsid w:val="00832759"/>
    <w:rsid w:val="00832C25"/>
    <w:rsid w:val="00833ECA"/>
    <w:rsid w:val="00834106"/>
    <w:rsid w:val="0083423A"/>
    <w:rsid w:val="00834372"/>
    <w:rsid w:val="00834DC5"/>
    <w:rsid w:val="00834F66"/>
    <w:rsid w:val="00834F8A"/>
    <w:rsid w:val="008356F3"/>
    <w:rsid w:val="00836211"/>
    <w:rsid w:val="00836818"/>
    <w:rsid w:val="00836890"/>
    <w:rsid w:val="00836FE7"/>
    <w:rsid w:val="00837518"/>
    <w:rsid w:val="00837A86"/>
    <w:rsid w:val="00840057"/>
    <w:rsid w:val="0084032A"/>
    <w:rsid w:val="00840C10"/>
    <w:rsid w:val="00841319"/>
    <w:rsid w:val="008413A4"/>
    <w:rsid w:val="00841794"/>
    <w:rsid w:val="00841CE1"/>
    <w:rsid w:val="0084219A"/>
    <w:rsid w:val="0084353F"/>
    <w:rsid w:val="008438E4"/>
    <w:rsid w:val="008448EC"/>
    <w:rsid w:val="00845382"/>
    <w:rsid w:val="008453C9"/>
    <w:rsid w:val="00847F92"/>
    <w:rsid w:val="00850E4D"/>
    <w:rsid w:val="008515F8"/>
    <w:rsid w:val="0085236F"/>
    <w:rsid w:val="00852420"/>
    <w:rsid w:val="00852DAD"/>
    <w:rsid w:val="00853D5A"/>
    <w:rsid w:val="008546CF"/>
    <w:rsid w:val="00854FAE"/>
    <w:rsid w:val="008550B8"/>
    <w:rsid w:val="00855B2C"/>
    <w:rsid w:val="00856263"/>
    <w:rsid w:val="0085663F"/>
    <w:rsid w:val="00856819"/>
    <w:rsid w:val="00856C26"/>
    <w:rsid w:val="008576D5"/>
    <w:rsid w:val="008601E4"/>
    <w:rsid w:val="00860620"/>
    <w:rsid w:val="008606C5"/>
    <w:rsid w:val="0086088C"/>
    <w:rsid w:val="00862028"/>
    <w:rsid w:val="00862875"/>
    <w:rsid w:val="00862ED6"/>
    <w:rsid w:val="00862EDE"/>
    <w:rsid w:val="0086337B"/>
    <w:rsid w:val="00863A5E"/>
    <w:rsid w:val="00863AF1"/>
    <w:rsid w:val="008652EF"/>
    <w:rsid w:val="008658DA"/>
    <w:rsid w:val="00865FBB"/>
    <w:rsid w:val="008660D6"/>
    <w:rsid w:val="00866322"/>
    <w:rsid w:val="0086688F"/>
    <w:rsid w:val="00866F78"/>
    <w:rsid w:val="00867416"/>
    <w:rsid w:val="0086789C"/>
    <w:rsid w:val="008705B8"/>
    <w:rsid w:val="0087073B"/>
    <w:rsid w:val="00870A60"/>
    <w:rsid w:val="00870EFF"/>
    <w:rsid w:val="00870FC1"/>
    <w:rsid w:val="008712D3"/>
    <w:rsid w:val="00872A4A"/>
    <w:rsid w:val="00872A84"/>
    <w:rsid w:val="00873817"/>
    <w:rsid w:val="00873E90"/>
    <w:rsid w:val="00874137"/>
    <w:rsid w:val="00874543"/>
    <w:rsid w:val="0087456F"/>
    <w:rsid w:val="00874EBC"/>
    <w:rsid w:val="00874F3F"/>
    <w:rsid w:val="008752A0"/>
    <w:rsid w:val="00875F68"/>
    <w:rsid w:val="0087643E"/>
    <w:rsid w:val="00876EDF"/>
    <w:rsid w:val="00877072"/>
    <w:rsid w:val="0087788E"/>
    <w:rsid w:val="0087789A"/>
    <w:rsid w:val="00877D25"/>
    <w:rsid w:val="00880501"/>
    <w:rsid w:val="008808F5"/>
    <w:rsid w:val="008810A2"/>
    <w:rsid w:val="00881384"/>
    <w:rsid w:val="008817C4"/>
    <w:rsid w:val="008818DB"/>
    <w:rsid w:val="00881A4A"/>
    <w:rsid w:val="0088296E"/>
    <w:rsid w:val="00882D03"/>
    <w:rsid w:val="0088341B"/>
    <w:rsid w:val="0088365D"/>
    <w:rsid w:val="0088424C"/>
    <w:rsid w:val="00884641"/>
    <w:rsid w:val="00884EA5"/>
    <w:rsid w:val="00884FDF"/>
    <w:rsid w:val="00885DF6"/>
    <w:rsid w:val="008863A2"/>
    <w:rsid w:val="00886584"/>
    <w:rsid w:val="00886E65"/>
    <w:rsid w:val="00886F5E"/>
    <w:rsid w:val="0088715A"/>
    <w:rsid w:val="00887344"/>
    <w:rsid w:val="00887501"/>
    <w:rsid w:val="00887F0B"/>
    <w:rsid w:val="00890239"/>
    <w:rsid w:val="00891420"/>
    <w:rsid w:val="00891ECB"/>
    <w:rsid w:val="008928DD"/>
    <w:rsid w:val="00893041"/>
    <w:rsid w:val="00893531"/>
    <w:rsid w:val="0089359C"/>
    <w:rsid w:val="008935BB"/>
    <w:rsid w:val="008937C3"/>
    <w:rsid w:val="00893A7E"/>
    <w:rsid w:val="00893AB0"/>
    <w:rsid w:val="00894AF0"/>
    <w:rsid w:val="00894B2E"/>
    <w:rsid w:val="00895242"/>
    <w:rsid w:val="0089576C"/>
    <w:rsid w:val="00896897"/>
    <w:rsid w:val="00896BBC"/>
    <w:rsid w:val="00896F12"/>
    <w:rsid w:val="00897CF7"/>
    <w:rsid w:val="008A0234"/>
    <w:rsid w:val="008A1096"/>
    <w:rsid w:val="008A1A96"/>
    <w:rsid w:val="008A1E2D"/>
    <w:rsid w:val="008A21CF"/>
    <w:rsid w:val="008A27C0"/>
    <w:rsid w:val="008A2A63"/>
    <w:rsid w:val="008A3920"/>
    <w:rsid w:val="008A3AE4"/>
    <w:rsid w:val="008A3B82"/>
    <w:rsid w:val="008A3D58"/>
    <w:rsid w:val="008A3F5F"/>
    <w:rsid w:val="008A4B30"/>
    <w:rsid w:val="008A5277"/>
    <w:rsid w:val="008A54D5"/>
    <w:rsid w:val="008A55FA"/>
    <w:rsid w:val="008A59DE"/>
    <w:rsid w:val="008A5FCC"/>
    <w:rsid w:val="008A63BB"/>
    <w:rsid w:val="008A697A"/>
    <w:rsid w:val="008A70E9"/>
    <w:rsid w:val="008A741C"/>
    <w:rsid w:val="008B0D95"/>
    <w:rsid w:val="008B10B5"/>
    <w:rsid w:val="008B1503"/>
    <w:rsid w:val="008B15D2"/>
    <w:rsid w:val="008B1860"/>
    <w:rsid w:val="008B23DE"/>
    <w:rsid w:val="008B2538"/>
    <w:rsid w:val="008B2D0A"/>
    <w:rsid w:val="008B30F3"/>
    <w:rsid w:val="008B3BD4"/>
    <w:rsid w:val="008B43D2"/>
    <w:rsid w:val="008B4E62"/>
    <w:rsid w:val="008B6054"/>
    <w:rsid w:val="008B6BF9"/>
    <w:rsid w:val="008B720F"/>
    <w:rsid w:val="008B738E"/>
    <w:rsid w:val="008B73B3"/>
    <w:rsid w:val="008B7E7D"/>
    <w:rsid w:val="008C01CB"/>
    <w:rsid w:val="008C0733"/>
    <w:rsid w:val="008C0DEA"/>
    <w:rsid w:val="008C0E24"/>
    <w:rsid w:val="008C132D"/>
    <w:rsid w:val="008C1FA3"/>
    <w:rsid w:val="008C2077"/>
    <w:rsid w:val="008C2100"/>
    <w:rsid w:val="008C228A"/>
    <w:rsid w:val="008C2E4E"/>
    <w:rsid w:val="008C3742"/>
    <w:rsid w:val="008C4CF8"/>
    <w:rsid w:val="008C533F"/>
    <w:rsid w:val="008C5501"/>
    <w:rsid w:val="008C6E7E"/>
    <w:rsid w:val="008C6F64"/>
    <w:rsid w:val="008C74C7"/>
    <w:rsid w:val="008C76E9"/>
    <w:rsid w:val="008D0A4D"/>
    <w:rsid w:val="008D166D"/>
    <w:rsid w:val="008D1B1C"/>
    <w:rsid w:val="008D20D7"/>
    <w:rsid w:val="008D2ABE"/>
    <w:rsid w:val="008D2E47"/>
    <w:rsid w:val="008D3E5D"/>
    <w:rsid w:val="008D4719"/>
    <w:rsid w:val="008D4D03"/>
    <w:rsid w:val="008D4F96"/>
    <w:rsid w:val="008D6426"/>
    <w:rsid w:val="008D6863"/>
    <w:rsid w:val="008D6B6D"/>
    <w:rsid w:val="008D7099"/>
    <w:rsid w:val="008D7B39"/>
    <w:rsid w:val="008D7C58"/>
    <w:rsid w:val="008E1CA4"/>
    <w:rsid w:val="008E1DB7"/>
    <w:rsid w:val="008E20ED"/>
    <w:rsid w:val="008E26E0"/>
    <w:rsid w:val="008E2B64"/>
    <w:rsid w:val="008E2DBC"/>
    <w:rsid w:val="008E3461"/>
    <w:rsid w:val="008E56AA"/>
    <w:rsid w:val="008E573C"/>
    <w:rsid w:val="008E5A31"/>
    <w:rsid w:val="008E6070"/>
    <w:rsid w:val="008E7372"/>
    <w:rsid w:val="008E78E8"/>
    <w:rsid w:val="008E7DF2"/>
    <w:rsid w:val="008E7FFE"/>
    <w:rsid w:val="008F02B4"/>
    <w:rsid w:val="008F0450"/>
    <w:rsid w:val="008F094B"/>
    <w:rsid w:val="008F1C08"/>
    <w:rsid w:val="008F218D"/>
    <w:rsid w:val="008F2735"/>
    <w:rsid w:val="008F3ACA"/>
    <w:rsid w:val="008F3D94"/>
    <w:rsid w:val="008F40FA"/>
    <w:rsid w:val="008F4845"/>
    <w:rsid w:val="008F5028"/>
    <w:rsid w:val="008F510B"/>
    <w:rsid w:val="008F5581"/>
    <w:rsid w:val="008F604D"/>
    <w:rsid w:val="008F7DD9"/>
    <w:rsid w:val="009000D7"/>
    <w:rsid w:val="009006E6"/>
    <w:rsid w:val="0090143C"/>
    <w:rsid w:val="0090266A"/>
    <w:rsid w:val="00902720"/>
    <w:rsid w:val="00902B5A"/>
    <w:rsid w:val="00902FAA"/>
    <w:rsid w:val="00903105"/>
    <w:rsid w:val="0090338D"/>
    <w:rsid w:val="00903D6F"/>
    <w:rsid w:val="00903EE1"/>
    <w:rsid w:val="00904A23"/>
    <w:rsid w:val="00905098"/>
    <w:rsid w:val="00905172"/>
    <w:rsid w:val="0090519F"/>
    <w:rsid w:val="009059D5"/>
    <w:rsid w:val="00905D54"/>
    <w:rsid w:val="00905EC7"/>
    <w:rsid w:val="00906A45"/>
    <w:rsid w:val="00907C5E"/>
    <w:rsid w:val="00910242"/>
    <w:rsid w:val="00910253"/>
    <w:rsid w:val="0091044C"/>
    <w:rsid w:val="009106C6"/>
    <w:rsid w:val="00911421"/>
    <w:rsid w:val="00912158"/>
    <w:rsid w:val="00912409"/>
    <w:rsid w:val="00913337"/>
    <w:rsid w:val="00913CBF"/>
    <w:rsid w:val="00914B0B"/>
    <w:rsid w:val="009157CB"/>
    <w:rsid w:val="00915941"/>
    <w:rsid w:val="009163CE"/>
    <w:rsid w:val="00917054"/>
    <w:rsid w:val="00917504"/>
    <w:rsid w:val="00917923"/>
    <w:rsid w:val="00917996"/>
    <w:rsid w:val="00917A06"/>
    <w:rsid w:val="0092016D"/>
    <w:rsid w:val="00920C36"/>
    <w:rsid w:val="00920C42"/>
    <w:rsid w:val="00922513"/>
    <w:rsid w:val="00922775"/>
    <w:rsid w:val="00922FB2"/>
    <w:rsid w:val="009233F0"/>
    <w:rsid w:val="00923676"/>
    <w:rsid w:val="00923AD1"/>
    <w:rsid w:val="00923BC0"/>
    <w:rsid w:val="00923CA4"/>
    <w:rsid w:val="00923F59"/>
    <w:rsid w:val="009241D3"/>
    <w:rsid w:val="00924960"/>
    <w:rsid w:val="0092574D"/>
    <w:rsid w:val="009257C6"/>
    <w:rsid w:val="00925BE5"/>
    <w:rsid w:val="00925CC6"/>
    <w:rsid w:val="00925EA1"/>
    <w:rsid w:val="00925F1E"/>
    <w:rsid w:val="009265B0"/>
    <w:rsid w:val="009267E2"/>
    <w:rsid w:val="00930512"/>
    <w:rsid w:val="009308A4"/>
    <w:rsid w:val="00930C0B"/>
    <w:rsid w:val="0093110E"/>
    <w:rsid w:val="00931638"/>
    <w:rsid w:val="00931E9B"/>
    <w:rsid w:val="00932244"/>
    <w:rsid w:val="00932DA4"/>
    <w:rsid w:val="00933B4B"/>
    <w:rsid w:val="00933CBE"/>
    <w:rsid w:val="009340A5"/>
    <w:rsid w:val="009343FD"/>
    <w:rsid w:val="0093478E"/>
    <w:rsid w:val="00934BFE"/>
    <w:rsid w:val="00935618"/>
    <w:rsid w:val="0093582E"/>
    <w:rsid w:val="00936248"/>
    <w:rsid w:val="00936255"/>
    <w:rsid w:val="00936447"/>
    <w:rsid w:val="00936620"/>
    <w:rsid w:val="00936A0D"/>
    <w:rsid w:val="00937154"/>
    <w:rsid w:val="0093743A"/>
    <w:rsid w:val="009375B6"/>
    <w:rsid w:val="0094004D"/>
    <w:rsid w:val="009403F0"/>
    <w:rsid w:val="00940832"/>
    <w:rsid w:val="00940FBC"/>
    <w:rsid w:val="009413E5"/>
    <w:rsid w:val="00941C15"/>
    <w:rsid w:val="00941C94"/>
    <w:rsid w:val="00941F6B"/>
    <w:rsid w:val="0094260F"/>
    <w:rsid w:val="0094287F"/>
    <w:rsid w:val="009432C6"/>
    <w:rsid w:val="00943337"/>
    <w:rsid w:val="00943D01"/>
    <w:rsid w:val="00943E1D"/>
    <w:rsid w:val="009442F7"/>
    <w:rsid w:val="00944433"/>
    <w:rsid w:val="00944479"/>
    <w:rsid w:val="00944BDE"/>
    <w:rsid w:val="0094624F"/>
    <w:rsid w:val="00946A16"/>
    <w:rsid w:val="009471AE"/>
    <w:rsid w:val="009471C0"/>
    <w:rsid w:val="0094758F"/>
    <w:rsid w:val="0095070D"/>
    <w:rsid w:val="00950E88"/>
    <w:rsid w:val="00951F7E"/>
    <w:rsid w:val="00952991"/>
    <w:rsid w:val="00952BC7"/>
    <w:rsid w:val="00954771"/>
    <w:rsid w:val="00954A34"/>
    <w:rsid w:val="00954D93"/>
    <w:rsid w:val="00954DF1"/>
    <w:rsid w:val="00955037"/>
    <w:rsid w:val="00955494"/>
    <w:rsid w:val="00955EB9"/>
    <w:rsid w:val="00956182"/>
    <w:rsid w:val="00956302"/>
    <w:rsid w:val="00956A0A"/>
    <w:rsid w:val="00956F46"/>
    <w:rsid w:val="0095708E"/>
    <w:rsid w:val="0095737A"/>
    <w:rsid w:val="00957702"/>
    <w:rsid w:val="00957956"/>
    <w:rsid w:val="00957993"/>
    <w:rsid w:val="00957A53"/>
    <w:rsid w:val="009601AC"/>
    <w:rsid w:val="00960933"/>
    <w:rsid w:val="00961380"/>
    <w:rsid w:val="00961BA4"/>
    <w:rsid w:val="00961EB0"/>
    <w:rsid w:val="00961F26"/>
    <w:rsid w:val="009621AF"/>
    <w:rsid w:val="009625D1"/>
    <w:rsid w:val="00962825"/>
    <w:rsid w:val="009633E3"/>
    <w:rsid w:val="0096344B"/>
    <w:rsid w:val="009639DE"/>
    <w:rsid w:val="00964ADD"/>
    <w:rsid w:val="00964BCA"/>
    <w:rsid w:val="00964D89"/>
    <w:rsid w:val="00965418"/>
    <w:rsid w:val="009654A2"/>
    <w:rsid w:val="00965807"/>
    <w:rsid w:val="00966D9B"/>
    <w:rsid w:val="00966FDB"/>
    <w:rsid w:val="009673E3"/>
    <w:rsid w:val="009674D0"/>
    <w:rsid w:val="00967755"/>
    <w:rsid w:val="009678D3"/>
    <w:rsid w:val="00967B70"/>
    <w:rsid w:val="009700DA"/>
    <w:rsid w:val="00970932"/>
    <w:rsid w:val="00970C97"/>
    <w:rsid w:val="00970EE2"/>
    <w:rsid w:val="009717E9"/>
    <w:rsid w:val="00971A1E"/>
    <w:rsid w:val="00972780"/>
    <w:rsid w:val="00972F72"/>
    <w:rsid w:val="00973251"/>
    <w:rsid w:val="0097383D"/>
    <w:rsid w:val="00973FF7"/>
    <w:rsid w:val="00974E3E"/>
    <w:rsid w:val="00975803"/>
    <w:rsid w:val="00976435"/>
    <w:rsid w:val="00977096"/>
    <w:rsid w:val="00977548"/>
    <w:rsid w:val="009777B0"/>
    <w:rsid w:val="00977A49"/>
    <w:rsid w:val="00977BC6"/>
    <w:rsid w:val="00977D61"/>
    <w:rsid w:val="009801F4"/>
    <w:rsid w:val="00980CE9"/>
    <w:rsid w:val="00980F2A"/>
    <w:rsid w:val="0098187B"/>
    <w:rsid w:val="00981B39"/>
    <w:rsid w:val="009820E7"/>
    <w:rsid w:val="00982634"/>
    <w:rsid w:val="009832CA"/>
    <w:rsid w:val="00983D85"/>
    <w:rsid w:val="00983F10"/>
    <w:rsid w:val="0098425D"/>
    <w:rsid w:val="00984593"/>
    <w:rsid w:val="0098555D"/>
    <w:rsid w:val="0098561B"/>
    <w:rsid w:val="00985B97"/>
    <w:rsid w:val="00985E85"/>
    <w:rsid w:val="009866A2"/>
    <w:rsid w:val="00986F69"/>
    <w:rsid w:val="00987597"/>
    <w:rsid w:val="009876BE"/>
    <w:rsid w:val="009903C7"/>
    <w:rsid w:val="00990B5A"/>
    <w:rsid w:val="00990C1E"/>
    <w:rsid w:val="00991AC0"/>
    <w:rsid w:val="00991C4E"/>
    <w:rsid w:val="00991CC2"/>
    <w:rsid w:val="009922E4"/>
    <w:rsid w:val="009927E1"/>
    <w:rsid w:val="00993E6E"/>
    <w:rsid w:val="00993FF4"/>
    <w:rsid w:val="00994689"/>
    <w:rsid w:val="00994AE5"/>
    <w:rsid w:val="00994D3D"/>
    <w:rsid w:val="00994F3C"/>
    <w:rsid w:val="0099539B"/>
    <w:rsid w:val="00995F48"/>
    <w:rsid w:val="0099662F"/>
    <w:rsid w:val="00996820"/>
    <w:rsid w:val="00996A0F"/>
    <w:rsid w:val="00996BFF"/>
    <w:rsid w:val="00996C3D"/>
    <w:rsid w:val="00996D48"/>
    <w:rsid w:val="00996DF3"/>
    <w:rsid w:val="009A0046"/>
    <w:rsid w:val="009A0A0F"/>
    <w:rsid w:val="009A0F54"/>
    <w:rsid w:val="009A1371"/>
    <w:rsid w:val="009A139B"/>
    <w:rsid w:val="009A153A"/>
    <w:rsid w:val="009A1602"/>
    <w:rsid w:val="009A1987"/>
    <w:rsid w:val="009A2863"/>
    <w:rsid w:val="009A36EB"/>
    <w:rsid w:val="009A3704"/>
    <w:rsid w:val="009A3905"/>
    <w:rsid w:val="009A3F6C"/>
    <w:rsid w:val="009A420D"/>
    <w:rsid w:val="009A4E1F"/>
    <w:rsid w:val="009A4F34"/>
    <w:rsid w:val="009A5568"/>
    <w:rsid w:val="009A55BC"/>
    <w:rsid w:val="009A6B09"/>
    <w:rsid w:val="009A751E"/>
    <w:rsid w:val="009A760C"/>
    <w:rsid w:val="009A7D53"/>
    <w:rsid w:val="009A7D82"/>
    <w:rsid w:val="009B0007"/>
    <w:rsid w:val="009B169D"/>
    <w:rsid w:val="009B1D41"/>
    <w:rsid w:val="009B27AA"/>
    <w:rsid w:val="009B2A9B"/>
    <w:rsid w:val="009B2E68"/>
    <w:rsid w:val="009B2EE3"/>
    <w:rsid w:val="009B33B3"/>
    <w:rsid w:val="009B3E50"/>
    <w:rsid w:val="009B3F40"/>
    <w:rsid w:val="009B4AC0"/>
    <w:rsid w:val="009B4CA6"/>
    <w:rsid w:val="009B6208"/>
    <w:rsid w:val="009B64B7"/>
    <w:rsid w:val="009B6892"/>
    <w:rsid w:val="009B69CC"/>
    <w:rsid w:val="009B6C80"/>
    <w:rsid w:val="009B6CD2"/>
    <w:rsid w:val="009B731A"/>
    <w:rsid w:val="009B78E9"/>
    <w:rsid w:val="009C03EF"/>
    <w:rsid w:val="009C0984"/>
    <w:rsid w:val="009C0D05"/>
    <w:rsid w:val="009C228E"/>
    <w:rsid w:val="009C2390"/>
    <w:rsid w:val="009C23AE"/>
    <w:rsid w:val="009C253A"/>
    <w:rsid w:val="009C2D92"/>
    <w:rsid w:val="009C2F93"/>
    <w:rsid w:val="009C3FA6"/>
    <w:rsid w:val="009C4CF0"/>
    <w:rsid w:val="009C4D9D"/>
    <w:rsid w:val="009C4FDE"/>
    <w:rsid w:val="009C5284"/>
    <w:rsid w:val="009C5A42"/>
    <w:rsid w:val="009C602A"/>
    <w:rsid w:val="009C6550"/>
    <w:rsid w:val="009C6569"/>
    <w:rsid w:val="009C69C9"/>
    <w:rsid w:val="009C7683"/>
    <w:rsid w:val="009C76B3"/>
    <w:rsid w:val="009D006D"/>
    <w:rsid w:val="009D0461"/>
    <w:rsid w:val="009D09FB"/>
    <w:rsid w:val="009D1167"/>
    <w:rsid w:val="009D1169"/>
    <w:rsid w:val="009D1171"/>
    <w:rsid w:val="009D12B8"/>
    <w:rsid w:val="009D1D75"/>
    <w:rsid w:val="009D278F"/>
    <w:rsid w:val="009D289B"/>
    <w:rsid w:val="009D2C48"/>
    <w:rsid w:val="009D42FC"/>
    <w:rsid w:val="009D4988"/>
    <w:rsid w:val="009D4CB8"/>
    <w:rsid w:val="009D635C"/>
    <w:rsid w:val="009D64A9"/>
    <w:rsid w:val="009D7705"/>
    <w:rsid w:val="009D7FAA"/>
    <w:rsid w:val="009E0079"/>
    <w:rsid w:val="009E0519"/>
    <w:rsid w:val="009E0A8F"/>
    <w:rsid w:val="009E0FE4"/>
    <w:rsid w:val="009E1783"/>
    <w:rsid w:val="009E2368"/>
    <w:rsid w:val="009E3643"/>
    <w:rsid w:val="009E4F69"/>
    <w:rsid w:val="009E5A6B"/>
    <w:rsid w:val="009E5CBE"/>
    <w:rsid w:val="009E5CD1"/>
    <w:rsid w:val="009F0100"/>
    <w:rsid w:val="009F01CA"/>
    <w:rsid w:val="009F04D5"/>
    <w:rsid w:val="009F0763"/>
    <w:rsid w:val="009F07BB"/>
    <w:rsid w:val="009F0DC5"/>
    <w:rsid w:val="009F17E7"/>
    <w:rsid w:val="009F1A2B"/>
    <w:rsid w:val="009F1BCA"/>
    <w:rsid w:val="009F209D"/>
    <w:rsid w:val="009F2590"/>
    <w:rsid w:val="009F31D0"/>
    <w:rsid w:val="009F3419"/>
    <w:rsid w:val="009F3635"/>
    <w:rsid w:val="009F3C45"/>
    <w:rsid w:val="009F4E09"/>
    <w:rsid w:val="009F4FD9"/>
    <w:rsid w:val="009F53F5"/>
    <w:rsid w:val="009F57CC"/>
    <w:rsid w:val="009F5939"/>
    <w:rsid w:val="009F5AD6"/>
    <w:rsid w:val="009F5DD3"/>
    <w:rsid w:val="009F5E9E"/>
    <w:rsid w:val="009F628C"/>
    <w:rsid w:val="009F6BD5"/>
    <w:rsid w:val="009F70EF"/>
    <w:rsid w:val="009F72A1"/>
    <w:rsid w:val="009F79DE"/>
    <w:rsid w:val="009F7FBD"/>
    <w:rsid w:val="009F7FFD"/>
    <w:rsid w:val="00A000BC"/>
    <w:rsid w:val="00A00591"/>
    <w:rsid w:val="00A0071F"/>
    <w:rsid w:val="00A00B89"/>
    <w:rsid w:val="00A00E99"/>
    <w:rsid w:val="00A01CA6"/>
    <w:rsid w:val="00A029B9"/>
    <w:rsid w:val="00A02A8B"/>
    <w:rsid w:val="00A02EEA"/>
    <w:rsid w:val="00A030CD"/>
    <w:rsid w:val="00A04895"/>
    <w:rsid w:val="00A04ED2"/>
    <w:rsid w:val="00A053A4"/>
    <w:rsid w:val="00A05444"/>
    <w:rsid w:val="00A054C9"/>
    <w:rsid w:val="00A059BC"/>
    <w:rsid w:val="00A0625F"/>
    <w:rsid w:val="00A0660A"/>
    <w:rsid w:val="00A06A8F"/>
    <w:rsid w:val="00A06BE9"/>
    <w:rsid w:val="00A0704B"/>
    <w:rsid w:val="00A0754C"/>
    <w:rsid w:val="00A07562"/>
    <w:rsid w:val="00A075D8"/>
    <w:rsid w:val="00A0772E"/>
    <w:rsid w:val="00A07BF5"/>
    <w:rsid w:val="00A10C56"/>
    <w:rsid w:val="00A123D4"/>
    <w:rsid w:val="00A1259D"/>
    <w:rsid w:val="00A129BD"/>
    <w:rsid w:val="00A12DE3"/>
    <w:rsid w:val="00A12F5B"/>
    <w:rsid w:val="00A13028"/>
    <w:rsid w:val="00A13128"/>
    <w:rsid w:val="00A13241"/>
    <w:rsid w:val="00A136DB"/>
    <w:rsid w:val="00A138C9"/>
    <w:rsid w:val="00A13D14"/>
    <w:rsid w:val="00A14516"/>
    <w:rsid w:val="00A14561"/>
    <w:rsid w:val="00A14B1F"/>
    <w:rsid w:val="00A14E57"/>
    <w:rsid w:val="00A1505C"/>
    <w:rsid w:val="00A15A19"/>
    <w:rsid w:val="00A15FD3"/>
    <w:rsid w:val="00A1665B"/>
    <w:rsid w:val="00A17113"/>
    <w:rsid w:val="00A171A9"/>
    <w:rsid w:val="00A176CA"/>
    <w:rsid w:val="00A20646"/>
    <w:rsid w:val="00A20BCB"/>
    <w:rsid w:val="00A21723"/>
    <w:rsid w:val="00A21FA2"/>
    <w:rsid w:val="00A22043"/>
    <w:rsid w:val="00A23BDD"/>
    <w:rsid w:val="00A2436E"/>
    <w:rsid w:val="00A248FD"/>
    <w:rsid w:val="00A255F9"/>
    <w:rsid w:val="00A257F8"/>
    <w:rsid w:val="00A25D45"/>
    <w:rsid w:val="00A2636A"/>
    <w:rsid w:val="00A2648A"/>
    <w:rsid w:val="00A26A39"/>
    <w:rsid w:val="00A27448"/>
    <w:rsid w:val="00A2765E"/>
    <w:rsid w:val="00A27C63"/>
    <w:rsid w:val="00A311FA"/>
    <w:rsid w:val="00A31462"/>
    <w:rsid w:val="00A31DB5"/>
    <w:rsid w:val="00A3263B"/>
    <w:rsid w:val="00A32D14"/>
    <w:rsid w:val="00A32F54"/>
    <w:rsid w:val="00A33094"/>
    <w:rsid w:val="00A3381E"/>
    <w:rsid w:val="00A35C5F"/>
    <w:rsid w:val="00A35F1E"/>
    <w:rsid w:val="00A36188"/>
    <w:rsid w:val="00A365B7"/>
    <w:rsid w:val="00A3695D"/>
    <w:rsid w:val="00A37053"/>
    <w:rsid w:val="00A37846"/>
    <w:rsid w:val="00A37A88"/>
    <w:rsid w:val="00A37BDE"/>
    <w:rsid w:val="00A400AC"/>
    <w:rsid w:val="00A40172"/>
    <w:rsid w:val="00A40F78"/>
    <w:rsid w:val="00A410CF"/>
    <w:rsid w:val="00A4175E"/>
    <w:rsid w:val="00A41FE4"/>
    <w:rsid w:val="00A421B6"/>
    <w:rsid w:val="00A43860"/>
    <w:rsid w:val="00A44A6C"/>
    <w:rsid w:val="00A44C7E"/>
    <w:rsid w:val="00A44DAC"/>
    <w:rsid w:val="00A44E55"/>
    <w:rsid w:val="00A46A14"/>
    <w:rsid w:val="00A46C18"/>
    <w:rsid w:val="00A47708"/>
    <w:rsid w:val="00A478B4"/>
    <w:rsid w:val="00A47ECD"/>
    <w:rsid w:val="00A51339"/>
    <w:rsid w:val="00A51830"/>
    <w:rsid w:val="00A52072"/>
    <w:rsid w:val="00A52167"/>
    <w:rsid w:val="00A52781"/>
    <w:rsid w:val="00A530F6"/>
    <w:rsid w:val="00A5374A"/>
    <w:rsid w:val="00A53BC9"/>
    <w:rsid w:val="00A53D5D"/>
    <w:rsid w:val="00A53FFE"/>
    <w:rsid w:val="00A543ED"/>
    <w:rsid w:val="00A54FCF"/>
    <w:rsid w:val="00A55642"/>
    <w:rsid w:val="00A5595B"/>
    <w:rsid w:val="00A559FF"/>
    <w:rsid w:val="00A55DB7"/>
    <w:rsid w:val="00A55E0A"/>
    <w:rsid w:val="00A55F42"/>
    <w:rsid w:val="00A5638D"/>
    <w:rsid w:val="00A56F6F"/>
    <w:rsid w:val="00A5731B"/>
    <w:rsid w:val="00A576AE"/>
    <w:rsid w:val="00A57738"/>
    <w:rsid w:val="00A57A5B"/>
    <w:rsid w:val="00A606B4"/>
    <w:rsid w:val="00A60809"/>
    <w:rsid w:val="00A60971"/>
    <w:rsid w:val="00A60B82"/>
    <w:rsid w:val="00A60D10"/>
    <w:rsid w:val="00A6118E"/>
    <w:rsid w:val="00A61525"/>
    <w:rsid w:val="00A6256C"/>
    <w:rsid w:val="00A6285A"/>
    <w:rsid w:val="00A633DF"/>
    <w:rsid w:val="00A63986"/>
    <w:rsid w:val="00A63BF7"/>
    <w:rsid w:val="00A6460A"/>
    <w:rsid w:val="00A6479B"/>
    <w:rsid w:val="00A64D40"/>
    <w:rsid w:val="00A65094"/>
    <w:rsid w:val="00A65E9A"/>
    <w:rsid w:val="00A66594"/>
    <w:rsid w:val="00A66834"/>
    <w:rsid w:val="00A67148"/>
    <w:rsid w:val="00A6760C"/>
    <w:rsid w:val="00A676BF"/>
    <w:rsid w:val="00A67ACF"/>
    <w:rsid w:val="00A67E3C"/>
    <w:rsid w:val="00A67EC9"/>
    <w:rsid w:val="00A70342"/>
    <w:rsid w:val="00A706F5"/>
    <w:rsid w:val="00A71172"/>
    <w:rsid w:val="00A71532"/>
    <w:rsid w:val="00A7162A"/>
    <w:rsid w:val="00A71C1A"/>
    <w:rsid w:val="00A72F5F"/>
    <w:rsid w:val="00A730FB"/>
    <w:rsid w:val="00A73A4E"/>
    <w:rsid w:val="00A7476A"/>
    <w:rsid w:val="00A7487B"/>
    <w:rsid w:val="00A74ED6"/>
    <w:rsid w:val="00A756A6"/>
    <w:rsid w:val="00A760BF"/>
    <w:rsid w:val="00A764BD"/>
    <w:rsid w:val="00A76D0D"/>
    <w:rsid w:val="00A76D80"/>
    <w:rsid w:val="00A7737E"/>
    <w:rsid w:val="00A77CCF"/>
    <w:rsid w:val="00A77EEE"/>
    <w:rsid w:val="00A800C5"/>
    <w:rsid w:val="00A80C94"/>
    <w:rsid w:val="00A8102E"/>
    <w:rsid w:val="00A81670"/>
    <w:rsid w:val="00A81706"/>
    <w:rsid w:val="00A8175A"/>
    <w:rsid w:val="00A81A52"/>
    <w:rsid w:val="00A81EC5"/>
    <w:rsid w:val="00A8208B"/>
    <w:rsid w:val="00A82278"/>
    <w:rsid w:val="00A82DFD"/>
    <w:rsid w:val="00A8387B"/>
    <w:rsid w:val="00A8389C"/>
    <w:rsid w:val="00A83BB2"/>
    <w:rsid w:val="00A83E29"/>
    <w:rsid w:val="00A84E04"/>
    <w:rsid w:val="00A84EF6"/>
    <w:rsid w:val="00A853DC"/>
    <w:rsid w:val="00A8666C"/>
    <w:rsid w:val="00A86E2E"/>
    <w:rsid w:val="00A879E0"/>
    <w:rsid w:val="00A87AD1"/>
    <w:rsid w:val="00A87FFD"/>
    <w:rsid w:val="00A907E9"/>
    <w:rsid w:val="00A907F4"/>
    <w:rsid w:val="00A90EA0"/>
    <w:rsid w:val="00A91645"/>
    <w:rsid w:val="00A9181A"/>
    <w:rsid w:val="00A91C63"/>
    <w:rsid w:val="00A91E2B"/>
    <w:rsid w:val="00A91FFE"/>
    <w:rsid w:val="00A92BE3"/>
    <w:rsid w:val="00A93292"/>
    <w:rsid w:val="00A9347F"/>
    <w:rsid w:val="00A94457"/>
    <w:rsid w:val="00A944DA"/>
    <w:rsid w:val="00A949BC"/>
    <w:rsid w:val="00A95480"/>
    <w:rsid w:val="00A9566C"/>
    <w:rsid w:val="00A95CBA"/>
    <w:rsid w:val="00A960AA"/>
    <w:rsid w:val="00A96206"/>
    <w:rsid w:val="00A96688"/>
    <w:rsid w:val="00AA00B8"/>
    <w:rsid w:val="00AA04AA"/>
    <w:rsid w:val="00AA04D7"/>
    <w:rsid w:val="00AA0C44"/>
    <w:rsid w:val="00AA0E01"/>
    <w:rsid w:val="00AA119B"/>
    <w:rsid w:val="00AA137C"/>
    <w:rsid w:val="00AA1523"/>
    <w:rsid w:val="00AA15A3"/>
    <w:rsid w:val="00AA17A3"/>
    <w:rsid w:val="00AA18F3"/>
    <w:rsid w:val="00AA2387"/>
    <w:rsid w:val="00AA25EA"/>
    <w:rsid w:val="00AA2D40"/>
    <w:rsid w:val="00AA2ECA"/>
    <w:rsid w:val="00AA39BD"/>
    <w:rsid w:val="00AA39E9"/>
    <w:rsid w:val="00AA3A75"/>
    <w:rsid w:val="00AA3B90"/>
    <w:rsid w:val="00AA4D23"/>
    <w:rsid w:val="00AA5FCC"/>
    <w:rsid w:val="00AA6704"/>
    <w:rsid w:val="00AA6D93"/>
    <w:rsid w:val="00AA7696"/>
    <w:rsid w:val="00AB0A9B"/>
    <w:rsid w:val="00AB122A"/>
    <w:rsid w:val="00AB15EA"/>
    <w:rsid w:val="00AB167D"/>
    <w:rsid w:val="00AB1C3E"/>
    <w:rsid w:val="00AB20B2"/>
    <w:rsid w:val="00AB22CE"/>
    <w:rsid w:val="00AB26A0"/>
    <w:rsid w:val="00AB2883"/>
    <w:rsid w:val="00AB3014"/>
    <w:rsid w:val="00AB3183"/>
    <w:rsid w:val="00AB35A9"/>
    <w:rsid w:val="00AB372F"/>
    <w:rsid w:val="00AB3B0D"/>
    <w:rsid w:val="00AB3DB1"/>
    <w:rsid w:val="00AB4B8B"/>
    <w:rsid w:val="00AB5C95"/>
    <w:rsid w:val="00AB6341"/>
    <w:rsid w:val="00AB6BED"/>
    <w:rsid w:val="00AB75DF"/>
    <w:rsid w:val="00AB7BB3"/>
    <w:rsid w:val="00AB7FEA"/>
    <w:rsid w:val="00AC01B5"/>
    <w:rsid w:val="00AC04BC"/>
    <w:rsid w:val="00AC14CD"/>
    <w:rsid w:val="00AC1505"/>
    <w:rsid w:val="00AC31D8"/>
    <w:rsid w:val="00AC3308"/>
    <w:rsid w:val="00AC3418"/>
    <w:rsid w:val="00AC3747"/>
    <w:rsid w:val="00AC40A2"/>
    <w:rsid w:val="00AC428B"/>
    <w:rsid w:val="00AC4BF7"/>
    <w:rsid w:val="00AC4F9A"/>
    <w:rsid w:val="00AC528D"/>
    <w:rsid w:val="00AC55FD"/>
    <w:rsid w:val="00AC5889"/>
    <w:rsid w:val="00AC622D"/>
    <w:rsid w:val="00AC6D91"/>
    <w:rsid w:val="00AC6EB6"/>
    <w:rsid w:val="00AC718D"/>
    <w:rsid w:val="00AC725E"/>
    <w:rsid w:val="00AC7554"/>
    <w:rsid w:val="00AC7A39"/>
    <w:rsid w:val="00AD0184"/>
    <w:rsid w:val="00AD01AA"/>
    <w:rsid w:val="00AD0392"/>
    <w:rsid w:val="00AD08E1"/>
    <w:rsid w:val="00AD0BD5"/>
    <w:rsid w:val="00AD1EC8"/>
    <w:rsid w:val="00AD2A2B"/>
    <w:rsid w:val="00AD2E82"/>
    <w:rsid w:val="00AD3F6A"/>
    <w:rsid w:val="00AD4E37"/>
    <w:rsid w:val="00AD5EE6"/>
    <w:rsid w:val="00AD633B"/>
    <w:rsid w:val="00AD674E"/>
    <w:rsid w:val="00AD68F2"/>
    <w:rsid w:val="00AD6FFC"/>
    <w:rsid w:val="00AD7366"/>
    <w:rsid w:val="00AD7C67"/>
    <w:rsid w:val="00AE016C"/>
    <w:rsid w:val="00AE01D8"/>
    <w:rsid w:val="00AE0300"/>
    <w:rsid w:val="00AE05D1"/>
    <w:rsid w:val="00AE08EA"/>
    <w:rsid w:val="00AE0C9C"/>
    <w:rsid w:val="00AE1040"/>
    <w:rsid w:val="00AE1FBB"/>
    <w:rsid w:val="00AE242A"/>
    <w:rsid w:val="00AE3026"/>
    <w:rsid w:val="00AE409E"/>
    <w:rsid w:val="00AE416D"/>
    <w:rsid w:val="00AE43C3"/>
    <w:rsid w:val="00AE475D"/>
    <w:rsid w:val="00AE4B75"/>
    <w:rsid w:val="00AE5643"/>
    <w:rsid w:val="00AE65D8"/>
    <w:rsid w:val="00AE6A44"/>
    <w:rsid w:val="00AE71F3"/>
    <w:rsid w:val="00AE729D"/>
    <w:rsid w:val="00AE7742"/>
    <w:rsid w:val="00AE7E6A"/>
    <w:rsid w:val="00AF005D"/>
    <w:rsid w:val="00AF00BC"/>
    <w:rsid w:val="00AF035B"/>
    <w:rsid w:val="00AF03C0"/>
    <w:rsid w:val="00AF08C8"/>
    <w:rsid w:val="00AF11FE"/>
    <w:rsid w:val="00AF15EA"/>
    <w:rsid w:val="00AF24B3"/>
    <w:rsid w:val="00AF277E"/>
    <w:rsid w:val="00AF2AAC"/>
    <w:rsid w:val="00AF33B3"/>
    <w:rsid w:val="00AF3D2D"/>
    <w:rsid w:val="00AF4AE2"/>
    <w:rsid w:val="00AF4BA2"/>
    <w:rsid w:val="00AF5CD7"/>
    <w:rsid w:val="00AF5F71"/>
    <w:rsid w:val="00AF621F"/>
    <w:rsid w:val="00AF657F"/>
    <w:rsid w:val="00AF6DE9"/>
    <w:rsid w:val="00AF6F91"/>
    <w:rsid w:val="00AF71C4"/>
    <w:rsid w:val="00AF7A2D"/>
    <w:rsid w:val="00AF7DCB"/>
    <w:rsid w:val="00AF7F77"/>
    <w:rsid w:val="00B00531"/>
    <w:rsid w:val="00B009C1"/>
    <w:rsid w:val="00B00BF8"/>
    <w:rsid w:val="00B01998"/>
    <w:rsid w:val="00B01DEA"/>
    <w:rsid w:val="00B028E2"/>
    <w:rsid w:val="00B0295A"/>
    <w:rsid w:val="00B02E97"/>
    <w:rsid w:val="00B03877"/>
    <w:rsid w:val="00B04797"/>
    <w:rsid w:val="00B047A6"/>
    <w:rsid w:val="00B0563E"/>
    <w:rsid w:val="00B05B9D"/>
    <w:rsid w:val="00B05DAC"/>
    <w:rsid w:val="00B06582"/>
    <w:rsid w:val="00B06B5C"/>
    <w:rsid w:val="00B077CF"/>
    <w:rsid w:val="00B10B43"/>
    <w:rsid w:val="00B113C6"/>
    <w:rsid w:val="00B1168B"/>
    <w:rsid w:val="00B120CE"/>
    <w:rsid w:val="00B12403"/>
    <w:rsid w:val="00B128D2"/>
    <w:rsid w:val="00B136E1"/>
    <w:rsid w:val="00B13DBE"/>
    <w:rsid w:val="00B13EFB"/>
    <w:rsid w:val="00B1417D"/>
    <w:rsid w:val="00B146AC"/>
    <w:rsid w:val="00B148E9"/>
    <w:rsid w:val="00B14A7F"/>
    <w:rsid w:val="00B14AEE"/>
    <w:rsid w:val="00B14D8F"/>
    <w:rsid w:val="00B15005"/>
    <w:rsid w:val="00B15260"/>
    <w:rsid w:val="00B1580E"/>
    <w:rsid w:val="00B15A27"/>
    <w:rsid w:val="00B160A4"/>
    <w:rsid w:val="00B1643E"/>
    <w:rsid w:val="00B16696"/>
    <w:rsid w:val="00B1707E"/>
    <w:rsid w:val="00B1758A"/>
    <w:rsid w:val="00B17B62"/>
    <w:rsid w:val="00B20806"/>
    <w:rsid w:val="00B21CCC"/>
    <w:rsid w:val="00B21DDE"/>
    <w:rsid w:val="00B221B3"/>
    <w:rsid w:val="00B22243"/>
    <w:rsid w:val="00B22728"/>
    <w:rsid w:val="00B22D03"/>
    <w:rsid w:val="00B230CC"/>
    <w:rsid w:val="00B23387"/>
    <w:rsid w:val="00B24465"/>
    <w:rsid w:val="00B24A8E"/>
    <w:rsid w:val="00B24ABC"/>
    <w:rsid w:val="00B24C18"/>
    <w:rsid w:val="00B24E73"/>
    <w:rsid w:val="00B25037"/>
    <w:rsid w:val="00B25080"/>
    <w:rsid w:val="00B2597C"/>
    <w:rsid w:val="00B2618C"/>
    <w:rsid w:val="00B265E7"/>
    <w:rsid w:val="00B26748"/>
    <w:rsid w:val="00B26DDD"/>
    <w:rsid w:val="00B26F60"/>
    <w:rsid w:val="00B26F7B"/>
    <w:rsid w:val="00B27AF3"/>
    <w:rsid w:val="00B27FEE"/>
    <w:rsid w:val="00B30BE8"/>
    <w:rsid w:val="00B311EF"/>
    <w:rsid w:val="00B31573"/>
    <w:rsid w:val="00B31574"/>
    <w:rsid w:val="00B32330"/>
    <w:rsid w:val="00B323B6"/>
    <w:rsid w:val="00B32B85"/>
    <w:rsid w:val="00B338A4"/>
    <w:rsid w:val="00B33AB0"/>
    <w:rsid w:val="00B34F16"/>
    <w:rsid w:val="00B35464"/>
    <w:rsid w:val="00B35481"/>
    <w:rsid w:val="00B3563A"/>
    <w:rsid w:val="00B3571C"/>
    <w:rsid w:val="00B358BB"/>
    <w:rsid w:val="00B35C2C"/>
    <w:rsid w:val="00B36143"/>
    <w:rsid w:val="00B362FF"/>
    <w:rsid w:val="00B36414"/>
    <w:rsid w:val="00B36634"/>
    <w:rsid w:val="00B37830"/>
    <w:rsid w:val="00B3789B"/>
    <w:rsid w:val="00B37E27"/>
    <w:rsid w:val="00B41BCD"/>
    <w:rsid w:val="00B421B2"/>
    <w:rsid w:val="00B426A6"/>
    <w:rsid w:val="00B42DF0"/>
    <w:rsid w:val="00B43138"/>
    <w:rsid w:val="00B44073"/>
    <w:rsid w:val="00B44813"/>
    <w:rsid w:val="00B44AC4"/>
    <w:rsid w:val="00B4604A"/>
    <w:rsid w:val="00B46D5A"/>
    <w:rsid w:val="00B47100"/>
    <w:rsid w:val="00B4780E"/>
    <w:rsid w:val="00B47DBF"/>
    <w:rsid w:val="00B504B2"/>
    <w:rsid w:val="00B505E1"/>
    <w:rsid w:val="00B506CE"/>
    <w:rsid w:val="00B50C1B"/>
    <w:rsid w:val="00B51A77"/>
    <w:rsid w:val="00B52BF1"/>
    <w:rsid w:val="00B53379"/>
    <w:rsid w:val="00B5373F"/>
    <w:rsid w:val="00B53849"/>
    <w:rsid w:val="00B540BA"/>
    <w:rsid w:val="00B5439A"/>
    <w:rsid w:val="00B544E9"/>
    <w:rsid w:val="00B55016"/>
    <w:rsid w:val="00B55088"/>
    <w:rsid w:val="00B55353"/>
    <w:rsid w:val="00B55EEA"/>
    <w:rsid w:val="00B561A0"/>
    <w:rsid w:val="00B56E22"/>
    <w:rsid w:val="00B57289"/>
    <w:rsid w:val="00B57723"/>
    <w:rsid w:val="00B57E98"/>
    <w:rsid w:val="00B6084A"/>
    <w:rsid w:val="00B60D6E"/>
    <w:rsid w:val="00B6136E"/>
    <w:rsid w:val="00B62610"/>
    <w:rsid w:val="00B62A61"/>
    <w:rsid w:val="00B62BAF"/>
    <w:rsid w:val="00B63472"/>
    <w:rsid w:val="00B637F1"/>
    <w:rsid w:val="00B6470D"/>
    <w:rsid w:val="00B649A0"/>
    <w:rsid w:val="00B64C0E"/>
    <w:rsid w:val="00B654AB"/>
    <w:rsid w:val="00B6590D"/>
    <w:rsid w:val="00B65934"/>
    <w:rsid w:val="00B65F41"/>
    <w:rsid w:val="00B662FF"/>
    <w:rsid w:val="00B6635D"/>
    <w:rsid w:val="00B6637A"/>
    <w:rsid w:val="00B66BA6"/>
    <w:rsid w:val="00B66E0E"/>
    <w:rsid w:val="00B66FF1"/>
    <w:rsid w:val="00B67298"/>
    <w:rsid w:val="00B674FE"/>
    <w:rsid w:val="00B67807"/>
    <w:rsid w:val="00B67986"/>
    <w:rsid w:val="00B702FD"/>
    <w:rsid w:val="00B70529"/>
    <w:rsid w:val="00B70E63"/>
    <w:rsid w:val="00B70F07"/>
    <w:rsid w:val="00B70FB0"/>
    <w:rsid w:val="00B71690"/>
    <w:rsid w:val="00B71E22"/>
    <w:rsid w:val="00B730F0"/>
    <w:rsid w:val="00B7365F"/>
    <w:rsid w:val="00B73A8E"/>
    <w:rsid w:val="00B73AE0"/>
    <w:rsid w:val="00B73F4A"/>
    <w:rsid w:val="00B73F50"/>
    <w:rsid w:val="00B7405F"/>
    <w:rsid w:val="00B7448B"/>
    <w:rsid w:val="00B746EF"/>
    <w:rsid w:val="00B752F1"/>
    <w:rsid w:val="00B758E7"/>
    <w:rsid w:val="00B76548"/>
    <w:rsid w:val="00B76A5F"/>
    <w:rsid w:val="00B76CA3"/>
    <w:rsid w:val="00B76EA5"/>
    <w:rsid w:val="00B76F67"/>
    <w:rsid w:val="00B770B1"/>
    <w:rsid w:val="00B8055C"/>
    <w:rsid w:val="00B80AB0"/>
    <w:rsid w:val="00B80BE8"/>
    <w:rsid w:val="00B80C57"/>
    <w:rsid w:val="00B8177B"/>
    <w:rsid w:val="00B817F4"/>
    <w:rsid w:val="00B81893"/>
    <w:rsid w:val="00B81B22"/>
    <w:rsid w:val="00B821B1"/>
    <w:rsid w:val="00B83275"/>
    <w:rsid w:val="00B84514"/>
    <w:rsid w:val="00B85889"/>
    <w:rsid w:val="00B86377"/>
    <w:rsid w:val="00B904E6"/>
    <w:rsid w:val="00B9054D"/>
    <w:rsid w:val="00B90823"/>
    <w:rsid w:val="00B90D1D"/>
    <w:rsid w:val="00B91768"/>
    <w:rsid w:val="00B91AF7"/>
    <w:rsid w:val="00B91CA6"/>
    <w:rsid w:val="00B923BB"/>
    <w:rsid w:val="00B92404"/>
    <w:rsid w:val="00B9279C"/>
    <w:rsid w:val="00B9290A"/>
    <w:rsid w:val="00B92DFB"/>
    <w:rsid w:val="00B93332"/>
    <w:rsid w:val="00B935BE"/>
    <w:rsid w:val="00B94BD5"/>
    <w:rsid w:val="00B94F48"/>
    <w:rsid w:val="00B95CB3"/>
    <w:rsid w:val="00B962A7"/>
    <w:rsid w:val="00B966FA"/>
    <w:rsid w:val="00B96A7A"/>
    <w:rsid w:val="00BA057C"/>
    <w:rsid w:val="00BA21A9"/>
    <w:rsid w:val="00BA2734"/>
    <w:rsid w:val="00BA2BB4"/>
    <w:rsid w:val="00BA31F6"/>
    <w:rsid w:val="00BA35E6"/>
    <w:rsid w:val="00BA3E70"/>
    <w:rsid w:val="00BA43A8"/>
    <w:rsid w:val="00BA58F2"/>
    <w:rsid w:val="00BA5B95"/>
    <w:rsid w:val="00BA6249"/>
    <w:rsid w:val="00BA6FF9"/>
    <w:rsid w:val="00BA7111"/>
    <w:rsid w:val="00BA7937"/>
    <w:rsid w:val="00BA7BD6"/>
    <w:rsid w:val="00BB0160"/>
    <w:rsid w:val="00BB10F5"/>
    <w:rsid w:val="00BB1B89"/>
    <w:rsid w:val="00BB1D1B"/>
    <w:rsid w:val="00BB21E0"/>
    <w:rsid w:val="00BB22DB"/>
    <w:rsid w:val="00BB2407"/>
    <w:rsid w:val="00BB381B"/>
    <w:rsid w:val="00BB3B96"/>
    <w:rsid w:val="00BB42A8"/>
    <w:rsid w:val="00BB4A33"/>
    <w:rsid w:val="00BB4A8E"/>
    <w:rsid w:val="00BB530C"/>
    <w:rsid w:val="00BB56E0"/>
    <w:rsid w:val="00BB5BCF"/>
    <w:rsid w:val="00BB5BD4"/>
    <w:rsid w:val="00BB5FF4"/>
    <w:rsid w:val="00BB6414"/>
    <w:rsid w:val="00BB66C2"/>
    <w:rsid w:val="00BB7142"/>
    <w:rsid w:val="00BB7BE2"/>
    <w:rsid w:val="00BB7C58"/>
    <w:rsid w:val="00BB7FF5"/>
    <w:rsid w:val="00BC02A7"/>
    <w:rsid w:val="00BC0D34"/>
    <w:rsid w:val="00BC0F26"/>
    <w:rsid w:val="00BC107E"/>
    <w:rsid w:val="00BC1BE7"/>
    <w:rsid w:val="00BC2025"/>
    <w:rsid w:val="00BC214C"/>
    <w:rsid w:val="00BC258F"/>
    <w:rsid w:val="00BC2A8C"/>
    <w:rsid w:val="00BC2A91"/>
    <w:rsid w:val="00BC2BBB"/>
    <w:rsid w:val="00BC2D07"/>
    <w:rsid w:val="00BC2D4F"/>
    <w:rsid w:val="00BC2DA2"/>
    <w:rsid w:val="00BC35A9"/>
    <w:rsid w:val="00BC36D5"/>
    <w:rsid w:val="00BC371F"/>
    <w:rsid w:val="00BC3C9C"/>
    <w:rsid w:val="00BC3EE3"/>
    <w:rsid w:val="00BC3F62"/>
    <w:rsid w:val="00BC40F6"/>
    <w:rsid w:val="00BC439D"/>
    <w:rsid w:val="00BC4594"/>
    <w:rsid w:val="00BC4828"/>
    <w:rsid w:val="00BC4F45"/>
    <w:rsid w:val="00BC5C7C"/>
    <w:rsid w:val="00BC5ECF"/>
    <w:rsid w:val="00BC6154"/>
    <w:rsid w:val="00BC6774"/>
    <w:rsid w:val="00BC72E0"/>
    <w:rsid w:val="00BC74E2"/>
    <w:rsid w:val="00BC7628"/>
    <w:rsid w:val="00BC7C83"/>
    <w:rsid w:val="00BD04CE"/>
    <w:rsid w:val="00BD0E1F"/>
    <w:rsid w:val="00BD1699"/>
    <w:rsid w:val="00BD285D"/>
    <w:rsid w:val="00BD2A80"/>
    <w:rsid w:val="00BD2E31"/>
    <w:rsid w:val="00BD3551"/>
    <w:rsid w:val="00BD3AD8"/>
    <w:rsid w:val="00BD4F4E"/>
    <w:rsid w:val="00BD5FD4"/>
    <w:rsid w:val="00BD6377"/>
    <w:rsid w:val="00BD7595"/>
    <w:rsid w:val="00BD7839"/>
    <w:rsid w:val="00BD7D59"/>
    <w:rsid w:val="00BD7DB2"/>
    <w:rsid w:val="00BE054E"/>
    <w:rsid w:val="00BE14F0"/>
    <w:rsid w:val="00BE16E3"/>
    <w:rsid w:val="00BE1E62"/>
    <w:rsid w:val="00BE2090"/>
    <w:rsid w:val="00BE23A2"/>
    <w:rsid w:val="00BE2434"/>
    <w:rsid w:val="00BE2DA4"/>
    <w:rsid w:val="00BE305A"/>
    <w:rsid w:val="00BE33DF"/>
    <w:rsid w:val="00BE3BCA"/>
    <w:rsid w:val="00BE4887"/>
    <w:rsid w:val="00BE4AA8"/>
    <w:rsid w:val="00BE4DC1"/>
    <w:rsid w:val="00BE5162"/>
    <w:rsid w:val="00BE5272"/>
    <w:rsid w:val="00BE54D8"/>
    <w:rsid w:val="00BE6424"/>
    <w:rsid w:val="00BE6867"/>
    <w:rsid w:val="00BE6B3B"/>
    <w:rsid w:val="00BE6E08"/>
    <w:rsid w:val="00BE789C"/>
    <w:rsid w:val="00BF060D"/>
    <w:rsid w:val="00BF1017"/>
    <w:rsid w:val="00BF13F2"/>
    <w:rsid w:val="00BF1A97"/>
    <w:rsid w:val="00BF20E3"/>
    <w:rsid w:val="00BF2D9B"/>
    <w:rsid w:val="00BF3286"/>
    <w:rsid w:val="00BF3AB1"/>
    <w:rsid w:val="00BF3AB8"/>
    <w:rsid w:val="00BF3BCF"/>
    <w:rsid w:val="00BF4EB3"/>
    <w:rsid w:val="00BF50D8"/>
    <w:rsid w:val="00BF5454"/>
    <w:rsid w:val="00BF57FD"/>
    <w:rsid w:val="00BF5805"/>
    <w:rsid w:val="00BF5D8C"/>
    <w:rsid w:val="00BF60B7"/>
    <w:rsid w:val="00BF616B"/>
    <w:rsid w:val="00BF61A8"/>
    <w:rsid w:val="00BF69B6"/>
    <w:rsid w:val="00BF7D46"/>
    <w:rsid w:val="00C00740"/>
    <w:rsid w:val="00C008A5"/>
    <w:rsid w:val="00C00A00"/>
    <w:rsid w:val="00C01565"/>
    <w:rsid w:val="00C018EA"/>
    <w:rsid w:val="00C01A7F"/>
    <w:rsid w:val="00C027B4"/>
    <w:rsid w:val="00C02FF4"/>
    <w:rsid w:val="00C04098"/>
    <w:rsid w:val="00C040EE"/>
    <w:rsid w:val="00C044BA"/>
    <w:rsid w:val="00C04C14"/>
    <w:rsid w:val="00C04C40"/>
    <w:rsid w:val="00C0530D"/>
    <w:rsid w:val="00C057DB"/>
    <w:rsid w:val="00C06971"/>
    <w:rsid w:val="00C06F9C"/>
    <w:rsid w:val="00C101F0"/>
    <w:rsid w:val="00C10274"/>
    <w:rsid w:val="00C10578"/>
    <w:rsid w:val="00C11084"/>
    <w:rsid w:val="00C11BC3"/>
    <w:rsid w:val="00C11E87"/>
    <w:rsid w:val="00C12053"/>
    <w:rsid w:val="00C12C30"/>
    <w:rsid w:val="00C12DE7"/>
    <w:rsid w:val="00C131CE"/>
    <w:rsid w:val="00C13A13"/>
    <w:rsid w:val="00C13EEA"/>
    <w:rsid w:val="00C144A9"/>
    <w:rsid w:val="00C15130"/>
    <w:rsid w:val="00C15288"/>
    <w:rsid w:val="00C15FAF"/>
    <w:rsid w:val="00C161E9"/>
    <w:rsid w:val="00C16498"/>
    <w:rsid w:val="00C1668A"/>
    <w:rsid w:val="00C16830"/>
    <w:rsid w:val="00C171AE"/>
    <w:rsid w:val="00C1739F"/>
    <w:rsid w:val="00C175D1"/>
    <w:rsid w:val="00C1799C"/>
    <w:rsid w:val="00C17E12"/>
    <w:rsid w:val="00C17E2E"/>
    <w:rsid w:val="00C20362"/>
    <w:rsid w:val="00C206E1"/>
    <w:rsid w:val="00C20C96"/>
    <w:rsid w:val="00C20E9C"/>
    <w:rsid w:val="00C215C2"/>
    <w:rsid w:val="00C21653"/>
    <w:rsid w:val="00C21AF9"/>
    <w:rsid w:val="00C21BBC"/>
    <w:rsid w:val="00C22046"/>
    <w:rsid w:val="00C224BE"/>
    <w:rsid w:val="00C22659"/>
    <w:rsid w:val="00C22FEF"/>
    <w:rsid w:val="00C2301F"/>
    <w:rsid w:val="00C23C10"/>
    <w:rsid w:val="00C24157"/>
    <w:rsid w:val="00C242CA"/>
    <w:rsid w:val="00C2448A"/>
    <w:rsid w:val="00C24958"/>
    <w:rsid w:val="00C254D0"/>
    <w:rsid w:val="00C254F9"/>
    <w:rsid w:val="00C2628C"/>
    <w:rsid w:val="00C267DB"/>
    <w:rsid w:val="00C2726C"/>
    <w:rsid w:val="00C27394"/>
    <w:rsid w:val="00C275C9"/>
    <w:rsid w:val="00C27776"/>
    <w:rsid w:val="00C31639"/>
    <w:rsid w:val="00C31FF5"/>
    <w:rsid w:val="00C32CC8"/>
    <w:rsid w:val="00C3335D"/>
    <w:rsid w:val="00C335E5"/>
    <w:rsid w:val="00C33A0A"/>
    <w:rsid w:val="00C34C1C"/>
    <w:rsid w:val="00C35333"/>
    <w:rsid w:val="00C35864"/>
    <w:rsid w:val="00C35C03"/>
    <w:rsid w:val="00C36430"/>
    <w:rsid w:val="00C3673E"/>
    <w:rsid w:val="00C40800"/>
    <w:rsid w:val="00C40976"/>
    <w:rsid w:val="00C40E0A"/>
    <w:rsid w:val="00C412FE"/>
    <w:rsid w:val="00C415EF"/>
    <w:rsid w:val="00C419B7"/>
    <w:rsid w:val="00C41B07"/>
    <w:rsid w:val="00C4257A"/>
    <w:rsid w:val="00C42F92"/>
    <w:rsid w:val="00C4347D"/>
    <w:rsid w:val="00C43517"/>
    <w:rsid w:val="00C44698"/>
    <w:rsid w:val="00C448B9"/>
    <w:rsid w:val="00C44BF4"/>
    <w:rsid w:val="00C457E5"/>
    <w:rsid w:val="00C4651B"/>
    <w:rsid w:val="00C46745"/>
    <w:rsid w:val="00C47379"/>
    <w:rsid w:val="00C473AD"/>
    <w:rsid w:val="00C47F7E"/>
    <w:rsid w:val="00C50730"/>
    <w:rsid w:val="00C5142E"/>
    <w:rsid w:val="00C51E39"/>
    <w:rsid w:val="00C52209"/>
    <w:rsid w:val="00C52212"/>
    <w:rsid w:val="00C5287B"/>
    <w:rsid w:val="00C52898"/>
    <w:rsid w:val="00C52B67"/>
    <w:rsid w:val="00C52E53"/>
    <w:rsid w:val="00C53BAC"/>
    <w:rsid w:val="00C5400D"/>
    <w:rsid w:val="00C54D00"/>
    <w:rsid w:val="00C554A9"/>
    <w:rsid w:val="00C55509"/>
    <w:rsid w:val="00C557EE"/>
    <w:rsid w:val="00C55CE8"/>
    <w:rsid w:val="00C55D75"/>
    <w:rsid w:val="00C56ADD"/>
    <w:rsid w:val="00C5731A"/>
    <w:rsid w:val="00C57CC1"/>
    <w:rsid w:val="00C60B1B"/>
    <w:rsid w:val="00C61789"/>
    <w:rsid w:val="00C61DBF"/>
    <w:rsid w:val="00C61EB7"/>
    <w:rsid w:val="00C6201F"/>
    <w:rsid w:val="00C6247A"/>
    <w:rsid w:val="00C62736"/>
    <w:rsid w:val="00C6296A"/>
    <w:rsid w:val="00C62A25"/>
    <w:rsid w:val="00C63D4E"/>
    <w:rsid w:val="00C64AEC"/>
    <w:rsid w:val="00C65115"/>
    <w:rsid w:val="00C6515B"/>
    <w:rsid w:val="00C672EE"/>
    <w:rsid w:val="00C71309"/>
    <w:rsid w:val="00C717AF"/>
    <w:rsid w:val="00C717F4"/>
    <w:rsid w:val="00C718EF"/>
    <w:rsid w:val="00C719FB"/>
    <w:rsid w:val="00C71EEE"/>
    <w:rsid w:val="00C72071"/>
    <w:rsid w:val="00C72651"/>
    <w:rsid w:val="00C72C6E"/>
    <w:rsid w:val="00C72CC8"/>
    <w:rsid w:val="00C72DF7"/>
    <w:rsid w:val="00C73184"/>
    <w:rsid w:val="00C73DB2"/>
    <w:rsid w:val="00C73DD4"/>
    <w:rsid w:val="00C74389"/>
    <w:rsid w:val="00C74664"/>
    <w:rsid w:val="00C74EFA"/>
    <w:rsid w:val="00C754F0"/>
    <w:rsid w:val="00C7573A"/>
    <w:rsid w:val="00C75F08"/>
    <w:rsid w:val="00C76052"/>
    <w:rsid w:val="00C76868"/>
    <w:rsid w:val="00C77254"/>
    <w:rsid w:val="00C8046A"/>
    <w:rsid w:val="00C80830"/>
    <w:rsid w:val="00C80E38"/>
    <w:rsid w:val="00C8122E"/>
    <w:rsid w:val="00C828C3"/>
    <w:rsid w:val="00C82B1A"/>
    <w:rsid w:val="00C8382B"/>
    <w:rsid w:val="00C83882"/>
    <w:rsid w:val="00C842D9"/>
    <w:rsid w:val="00C84521"/>
    <w:rsid w:val="00C846A2"/>
    <w:rsid w:val="00C84C03"/>
    <w:rsid w:val="00C84CFB"/>
    <w:rsid w:val="00C85E18"/>
    <w:rsid w:val="00C85FA6"/>
    <w:rsid w:val="00C86AB7"/>
    <w:rsid w:val="00C86BD6"/>
    <w:rsid w:val="00C86D77"/>
    <w:rsid w:val="00C86DEB"/>
    <w:rsid w:val="00C8708D"/>
    <w:rsid w:val="00C9010B"/>
    <w:rsid w:val="00C924D2"/>
    <w:rsid w:val="00C928A4"/>
    <w:rsid w:val="00C92A72"/>
    <w:rsid w:val="00C92D1D"/>
    <w:rsid w:val="00C92DB9"/>
    <w:rsid w:val="00C93708"/>
    <w:rsid w:val="00C93711"/>
    <w:rsid w:val="00C93ABF"/>
    <w:rsid w:val="00C94033"/>
    <w:rsid w:val="00C94E21"/>
    <w:rsid w:val="00C9698A"/>
    <w:rsid w:val="00C96B4A"/>
    <w:rsid w:val="00C96BF3"/>
    <w:rsid w:val="00C97958"/>
    <w:rsid w:val="00C97AE4"/>
    <w:rsid w:val="00C97E3F"/>
    <w:rsid w:val="00C97E88"/>
    <w:rsid w:val="00CA02AD"/>
    <w:rsid w:val="00CA074D"/>
    <w:rsid w:val="00CA0B49"/>
    <w:rsid w:val="00CA0D7D"/>
    <w:rsid w:val="00CA1A74"/>
    <w:rsid w:val="00CA1CD1"/>
    <w:rsid w:val="00CA20E2"/>
    <w:rsid w:val="00CA2101"/>
    <w:rsid w:val="00CA260E"/>
    <w:rsid w:val="00CA27DF"/>
    <w:rsid w:val="00CA3571"/>
    <w:rsid w:val="00CA3E98"/>
    <w:rsid w:val="00CA4080"/>
    <w:rsid w:val="00CA45B9"/>
    <w:rsid w:val="00CA4B4C"/>
    <w:rsid w:val="00CA5182"/>
    <w:rsid w:val="00CA549F"/>
    <w:rsid w:val="00CA57E8"/>
    <w:rsid w:val="00CA5B90"/>
    <w:rsid w:val="00CA66C7"/>
    <w:rsid w:val="00CA6857"/>
    <w:rsid w:val="00CA6D43"/>
    <w:rsid w:val="00CA72B3"/>
    <w:rsid w:val="00CA7790"/>
    <w:rsid w:val="00CA788B"/>
    <w:rsid w:val="00CA7A2E"/>
    <w:rsid w:val="00CB0320"/>
    <w:rsid w:val="00CB04B1"/>
    <w:rsid w:val="00CB06C9"/>
    <w:rsid w:val="00CB124E"/>
    <w:rsid w:val="00CB14FD"/>
    <w:rsid w:val="00CB15BB"/>
    <w:rsid w:val="00CB2490"/>
    <w:rsid w:val="00CB2732"/>
    <w:rsid w:val="00CB2A40"/>
    <w:rsid w:val="00CB322F"/>
    <w:rsid w:val="00CB33E7"/>
    <w:rsid w:val="00CB3436"/>
    <w:rsid w:val="00CB3EE4"/>
    <w:rsid w:val="00CB40FC"/>
    <w:rsid w:val="00CB420E"/>
    <w:rsid w:val="00CB436B"/>
    <w:rsid w:val="00CB446F"/>
    <w:rsid w:val="00CB474F"/>
    <w:rsid w:val="00CB47E9"/>
    <w:rsid w:val="00CB4B63"/>
    <w:rsid w:val="00CB5020"/>
    <w:rsid w:val="00CB540E"/>
    <w:rsid w:val="00CB5E2D"/>
    <w:rsid w:val="00CB62F4"/>
    <w:rsid w:val="00CB645B"/>
    <w:rsid w:val="00CB71B6"/>
    <w:rsid w:val="00CB72C2"/>
    <w:rsid w:val="00CB7825"/>
    <w:rsid w:val="00CB7AD7"/>
    <w:rsid w:val="00CB7C08"/>
    <w:rsid w:val="00CC0E87"/>
    <w:rsid w:val="00CC0FFD"/>
    <w:rsid w:val="00CC10B2"/>
    <w:rsid w:val="00CC18FD"/>
    <w:rsid w:val="00CC1BF7"/>
    <w:rsid w:val="00CC1FD1"/>
    <w:rsid w:val="00CC261D"/>
    <w:rsid w:val="00CC2645"/>
    <w:rsid w:val="00CC2919"/>
    <w:rsid w:val="00CC2B0B"/>
    <w:rsid w:val="00CC2E21"/>
    <w:rsid w:val="00CC2E83"/>
    <w:rsid w:val="00CC3905"/>
    <w:rsid w:val="00CC3E9D"/>
    <w:rsid w:val="00CC4451"/>
    <w:rsid w:val="00CC4505"/>
    <w:rsid w:val="00CC4C72"/>
    <w:rsid w:val="00CC518D"/>
    <w:rsid w:val="00CC533A"/>
    <w:rsid w:val="00CC65A4"/>
    <w:rsid w:val="00CC6B0B"/>
    <w:rsid w:val="00CC731D"/>
    <w:rsid w:val="00CC796E"/>
    <w:rsid w:val="00CD0092"/>
    <w:rsid w:val="00CD0BFB"/>
    <w:rsid w:val="00CD11C3"/>
    <w:rsid w:val="00CD13EB"/>
    <w:rsid w:val="00CD1CB3"/>
    <w:rsid w:val="00CD2B5C"/>
    <w:rsid w:val="00CD2C2C"/>
    <w:rsid w:val="00CD2E4C"/>
    <w:rsid w:val="00CD3C08"/>
    <w:rsid w:val="00CD3D8B"/>
    <w:rsid w:val="00CD41E1"/>
    <w:rsid w:val="00CD4E1E"/>
    <w:rsid w:val="00CD51AB"/>
    <w:rsid w:val="00CD550D"/>
    <w:rsid w:val="00CD5609"/>
    <w:rsid w:val="00CD5773"/>
    <w:rsid w:val="00CD5DDE"/>
    <w:rsid w:val="00CD6299"/>
    <w:rsid w:val="00CD692B"/>
    <w:rsid w:val="00CD6C1A"/>
    <w:rsid w:val="00CD74D5"/>
    <w:rsid w:val="00CD76C9"/>
    <w:rsid w:val="00CE0223"/>
    <w:rsid w:val="00CE04F3"/>
    <w:rsid w:val="00CE2716"/>
    <w:rsid w:val="00CE2A77"/>
    <w:rsid w:val="00CE42CC"/>
    <w:rsid w:val="00CE479E"/>
    <w:rsid w:val="00CE52F0"/>
    <w:rsid w:val="00CE56D3"/>
    <w:rsid w:val="00CE629F"/>
    <w:rsid w:val="00CE6757"/>
    <w:rsid w:val="00CE6B33"/>
    <w:rsid w:val="00CE6F06"/>
    <w:rsid w:val="00CE7141"/>
    <w:rsid w:val="00CE728B"/>
    <w:rsid w:val="00CE789C"/>
    <w:rsid w:val="00CE7FDE"/>
    <w:rsid w:val="00CF0914"/>
    <w:rsid w:val="00CF0A7B"/>
    <w:rsid w:val="00CF253C"/>
    <w:rsid w:val="00CF262D"/>
    <w:rsid w:val="00CF2656"/>
    <w:rsid w:val="00CF29D5"/>
    <w:rsid w:val="00CF2C33"/>
    <w:rsid w:val="00CF34C6"/>
    <w:rsid w:val="00CF3778"/>
    <w:rsid w:val="00CF45C0"/>
    <w:rsid w:val="00CF51B9"/>
    <w:rsid w:val="00CF5214"/>
    <w:rsid w:val="00CF5252"/>
    <w:rsid w:val="00CF588C"/>
    <w:rsid w:val="00CF5CC8"/>
    <w:rsid w:val="00CF66C6"/>
    <w:rsid w:val="00CF68CD"/>
    <w:rsid w:val="00CF6C76"/>
    <w:rsid w:val="00CF6FAA"/>
    <w:rsid w:val="00CF7080"/>
    <w:rsid w:val="00D0011C"/>
    <w:rsid w:val="00D01363"/>
    <w:rsid w:val="00D01717"/>
    <w:rsid w:val="00D01C45"/>
    <w:rsid w:val="00D02233"/>
    <w:rsid w:val="00D0226E"/>
    <w:rsid w:val="00D02333"/>
    <w:rsid w:val="00D02E98"/>
    <w:rsid w:val="00D03DBE"/>
    <w:rsid w:val="00D03F5F"/>
    <w:rsid w:val="00D040E3"/>
    <w:rsid w:val="00D04562"/>
    <w:rsid w:val="00D048CB"/>
    <w:rsid w:val="00D04F8C"/>
    <w:rsid w:val="00D05405"/>
    <w:rsid w:val="00D056CB"/>
    <w:rsid w:val="00D05B6C"/>
    <w:rsid w:val="00D064A2"/>
    <w:rsid w:val="00D105D4"/>
    <w:rsid w:val="00D10870"/>
    <w:rsid w:val="00D10D8C"/>
    <w:rsid w:val="00D10F59"/>
    <w:rsid w:val="00D115D4"/>
    <w:rsid w:val="00D11682"/>
    <w:rsid w:val="00D11EBC"/>
    <w:rsid w:val="00D11EC3"/>
    <w:rsid w:val="00D11F9F"/>
    <w:rsid w:val="00D12A03"/>
    <w:rsid w:val="00D13210"/>
    <w:rsid w:val="00D13416"/>
    <w:rsid w:val="00D134BA"/>
    <w:rsid w:val="00D134C1"/>
    <w:rsid w:val="00D140E2"/>
    <w:rsid w:val="00D14E9A"/>
    <w:rsid w:val="00D15C7C"/>
    <w:rsid w:val="00D15EF8"/>
    <w:rsid w:val="00D17691"/>
    <w:rsid w:val="00D17B26"/>
    <w:rsid w:val="00D17D1D"/>
    <w:rsid w:val="00D2004E"/>
    <w:rsid w:val="00D2037C"/>
    <w:rsid w:val="00D2077E"/>
    <w:rsid w:val="00D2101F"/>
    <w:rsid w:val="00D216C2"/>
    <w:rsid w:val="00D21A4C"/>
    <w:rsid w:val="00D21F03"/>
    <w:rsid w:val="00D222B2"/>
    <w:rsid w:val="00D238FB"/>
    <w:rsid w:val="00D23E97"/>
    <w:rsid w:val="00D24106"/>
    <w:rsid w:val="00D24213"/>
    <w:rsid w:val="00D24820"/>
    <w:rsid w:val="00D264DA"/>
    <w:rsid w:val="00D267D0"/>
    <w:rsid w:val="00D26832"/>
    <w:rsid w:val="00D26A5B"/>
    <w:rsid w:val="00D26CDC"/>
    <w:rsid w:val="00D270A7"/>
    <w:rsid w:val="00D27585"/>
    <w:rsid w:val="00D30041"/>
    <w:rsid w:val="00D306E1"/>
    <w:rsid w:val="00D30758"/>
    <w:rsid w:val="00D309B0"/>
    <w:rsid w:val="00D30D87"/>
    <w:rsid w:val="00D30F99"/>
    <w:rsid w:val="00D31538"/>
    <w:rsid w:val="00D31718"/>
    <w:rsid w:val="00D317B3"/>
    <w:rsid w:val="00D31E94"/>
    <w:rsid w:val="00D3268C"/>
    <w:rsid w:val="00D33092"/>
    <w:rsid w:val="00D33376"/>
    <w:rsid w:val="00D33575"/>
    <w:rsid w:val="00D3364D"/>
    <w:rsid w:val="00D34B7D"/>
    <w:rsid w:val="00D35293"/>
    <w:rsid w:val="00D352C9"/>
    <w:rsid w:val="00D3553E"/>
    <w:rsid w:val="00D36040"/>
    <w:rsid w:val="00D37672"/>
    <w:rsid w:val="00D37AE3"/>
    <w:rsid w:val="00D40283"/>
    <w:rsid w:val="00D404AB"/>
    <w:rsid w:val="00D4055D"/>
    <w:rsid w:val="00D4146C"/>
    <w:rsid w:val="00D42194"/>
    <w:rsid w:val="00D4264F"/>
    <w:rsid w:val="00D42A24"/>
    <w:rsid w:val="00D43045"/>
    <w:rsid w:val="00D43BB0"/>
    <w:rsid w:val="00D44271"/>
    <w:rsid w:val="00D44659"/>
    <w:rsid w:val="00D4496A"/>
    <w:rsid w:val="00D45CDD"/>
    <w:rsid w:val="00D45DE5"/>
    <w:rsid w:val="00D463D4"/>
    <w:rsid w:val="00D47B2C"/>
    <w:rsid w:val="00D50412"/>
    <w:rsid w:val="00D50699"/>
    <w:rsid w:val="00D50B90"/>
    <w:rsid w:val="00D50C00"/>
    <w:rsid w:val="00D50E40"/>
    <w:rsid w:val="00D51366"/>
    <w:rsid w:val="00D5148A"/>
    <w:rsid w:val="00D51855"/>
    <w:rsid w:val="00D52033"/>
    <w:rsid w:val="00D520D4"/>
    <w:rsid w:val="00D52696"/>
    <w:rsid w:val="00D52E48"/>
    <w:rsid w:val="00D531BB"/>
    <w:rsid w:val="00D53945"/>
    <w:rsid w:val="00D53A42"/>
    <w:rsid w:val="00D53B78"/>
    <w:rsid w:val="00D5404D"/>
    <w:rsid w:val="00D54B9F"/>
    <w:rsid w:val="00D54C80"/>
    <w:rsid w:val="00D57071"/>
    <w:rsid w:val="00D60225"/>
    <w:rsid w:val="00D612EA"/>
    <w:rsid w:val="00D61887"/>
    <w:rsid w:val="00D61985"/>
    <w:rsid w:val="00D62DE2"/>
    <w:rsid w:val="00D63266"/>
    <w:rsid w:val="00D632A0"/>
    <w:rsid w:val="00D63AD9"/>
    <w:rsid w:val="00D63EC8"/>
    <w:rsid w:val="00D64415"/>
    <w:rsid w:val="00D64D06"/>
    <w:rsid w:val="00D65338"/>
    <w:rsid w:val="00D65454"/>
    <w:rsid w:val="00D658B7"/>
    <w:rsid w:val="00D66382"/>
    <w:rsid w:val="00D67978"/>
    <w:rsid w:val="00D67AF1"/>
    <w:rsid w:val="00D70066"/>
    <w:rsid w:val="00D703C6"/>
    <w:rsid w:val="00D7108C"/>
    <w:rsid w:val="00D718BD"/>
    <w:rsid w:val="00D7300C"/>
    <w:rsid w:val="00D73E95"/>
    <w:rsid w:val="00D74F6F"/>
    <w:rsid w:val="00D750EF"/>
    <w:rsid w:val="00D7547D"/>
    <w:rsid w:val="00D754AD"/>
    <w:rsid w:val="00D75F0B"/>
    <w:rsid w:val="00D7601F"/>
    <w:rsid w:val="00D76936"/>
    <w:rsid w:val="00D76A24"/>
    <w:rsid w:val="00D76D41"/>
    <w:rsid w:val="00D77CF3"/>
    <w:rsid w:val="00D80687"/>
    <w:rsid w:val="00D80719"/>
    <w:rsid w:val="00D80928"/>
    <w:rsid w:val="00D80A7A"/>
    <w:rsid w:val="00D82478"/>
    <w:rsid w:val="00D82867"/>
    <w:rsid w:val="00D82A83"/>
    <w:rsid w:val="00D8401B"/>
    <w:rsid w:val="00D84941"/>
    <w:rsid w:val="00D84BA6"/>
    <w:rsid w:val="00D84E5D"/>
    <w:rsid w:val="00D86D6F"/>
    <w:rsid w:val="00D872F5"/>
    <w:rsid w:val="00D87948"/>
    <w:rsid w:val="00D90897"/>
    <w:rsid w:val="00D90D90"/>
    <w:rsid w:val="00D910DE"/>
    <w:rsid w:val="00D914ED"/>
    <w:rsid w:val="00D91B17"/>
    <w:rsid w:val="00D91BC4"/>
    <w:rsid w:val="00D92353"/>
    <w:rsid w:val="00D931F1"/>
    <w:rsid w:val="00D932CA"/>
    <w:rsid w:val="00D93810"/>
    <w:rsid w:val="00D93998"/>
    <w:rsid w:val="00D94AC5"/>
    <w:rsid w:val="00D94CFE"/>
    <w:rsid w:val="00D95B73"/>
    <w:rsid w:val="00D95D3F"/>
    <w:rsid w:val="00D96116"/>
    <w:rsid w:val="00D96119"/>
    <w:rsid w:val="00D966BA"/>
    <w:rsid w:val="00D96CA2"/>
    <w:rsid w:val="00D970E9"/>
    <w:rsid w:val="00D979F8"/>
    <w:rsid w:val="00DA0550"/>
    <w:rsid w:val="00DA0997"/>
    <w:rsid w:val="00DA1549"/>
    <w:rsid w:val="00DA1562"/>
    <w:rsid w:val="00DA2395"/>
    <w:rsid w:val="00DA2529"/>
    <w:rsid w:val="00DA3017"/>
    <w:rsid w:val="00DA3187"/>
    <w:rsid w:val="00DA4B5D"/>
    <w:rsid w:val="00DA51C0"/>
    <w:rsid w:val="00DA586D"/>
    <w:rsid w:val="00DA5A72"/>
    <w:rsid w:val="00DA5F11"/>
    <w:rsid w:val="00DA6445"/>
    <w:rsid w:val="00DA6881"/>
    <w:rsid w:val="00DA6937"/>
    <w:rsid w:val="00DA6FDD"/>
    <w:rsid w:val="00DA71CF"/>
    <w:rsid w:val="00DA74D4"/>
    <w:rsid w:val="00DB060B"/>
    <w:rsid w:val="00DB0E02"/>
    <w:rsid w:val="00DB1383"/>
    <w:rsid w:val="00DB1EFB"/>
    <w:rsid w:val="00DB2DF1"/>
    <w:rsid w:val="00DB302E"/>
    <w:rsid w:val="00DB32BF"/>
    <w:rsid w:val="00DB3AF0"/>
    <w:rsid w:val="00DB4677"/>
    <w:rsid w:val="00DB5485"/>
    <w:rsid w:val="00DB5B47"/>
    <w:rsid w:val="00DB5E4B"/>
    <w:rsid w:val="00DB6237"/>
    <w:rsid w:val="00DB6547"/>
    <w:rsid w:val="00DB6A4A"/>
    <w:rsid w:val="00DB6D68"/>
    <w:rsid w:val="00DB6F7B"/>
    <w:rsid w:val="00DC1597"/>
    <w:rsid w:val="00DC18D4"/>
    <w:rsid w:val="00DC18FC"/>
    <w:rsid w:val="00DC1A58"/>
    <w:rsid w:val="00DC1FCC"/>
    <w:rsid w:val="00DC2708"/>
    <w:rsid w:val="00DC314E"/>
    <w:rsid w:val="00DC33B4"/>
    <w:rsid w:val="00DC3A89"/>
    <w:rsid w:val="00DC3BF0"/>
    <w:rsid w:val="00DC434C"/>
    <w:rsid w:val="00DC5981"/>
    <w:rsid w:val="00DC61FB"/>
    <w:rsid w:val="00DC66BD"/>
    <w:rsid w:val="00DC6B57"/>
    <w:rsid w:val="00DC6CAC"/>
    <w:rsid w:val="00DC7F77"/>
    <w:rsid w:val="00DD07E6"/>
    <w:rsid w:val="00DD1175"/>
    <w:rsid w:val="00DD1203"/>
    <w:rsid w:val="00DD1911"/>
    <w:rsid w:val="00DD2271"/>
    <w:rsid w:val="00DD22FD"/>
    <w:rsid w:val="00DD2317"/>
    <w:rsid w:val="00DD252C"/>
    <w:rsid w:val="00DD2AAE"/>
    <w:rsid w:val="00DD2CCD"/>
    <w:rsid w:val="00DD2F0F"/>
    <w:rsid w:val="00DD3486"/>
    <w:rsid w:val="00DD3885"/>
    <w:rsid w:val="00DD3DD6"/>
    <w:rsid w:val="00DD49DB"/>
    <w:rsid w:val="00DD57B4"/>
    <w:rsid w:val="00DD58B1"/>
    <w:rsid w:val="00DD5B5E"/>
    <w:rsid w:val="00DD5DF0"/>
    <w:rsid w:val="00DD632A"/>
    <w:rsid w:val="00DD6344"/>
    <w:rsid w:val="00DD699A"/>
    <w:rsid w:val="00DD75D9"/>
    <w:rsid w:val="00DD75EA"/>
    <w:rsid w:val="00DD7AB6"/>
    <w:rsid w:val="00DD7D47"/>
    <w:rsid w:val="00DD7FED"/>
    <w:rsid w:val="00DE0B3B"/>
    <w:rsid w:val="00DE1D0A"/>
    <w:rsid w:val="00DE2706"/>
    <w:rsid w:val="00DE310F"/>
    <w:rsid w:val="00DE320B"/>
    <w:rsid w:val="00DE34C1"/>
    <w:rsid w:val="00DE45BB"/>
    <w:rsid w:val="00DE4BBC"/>
    <w:rsid w:val="00DE5144"/>
    <w:rsid w:val="00DE516B"/>
    <w:rsid w:val="00DE5F7A"/>
    <w:rsid w:val="00DE655C"/>
    <w:rsid w:val="00DE6A63"/>
    <w:rsid w:val="00DE6E88"/>
    <w:rsid w:val="00DE75A9"/>
    <w:rsid w:val="00DE7642"/>
    <w:rsid w:val="00DE7CCB"/>
    <w:rsid w:val="00DF02AF"/>
    <w:rsid w:val="00DF0BC2"/>
    <w:rsid w:val="00DF0F5D"/>
    <w:rsid w:val="00DF1AA3"/>
    <w:rsid w:val="00DF1CE5"/>
    <w:rsid w:val="00DF1E0E"/>
    <w:rsid w:val="00DF2455"/>
    <w:rsid w:val="00DF2CC0"/>
    <w:rsid w:val="00DF2F2D"/>
    <w:rsid w:val="00DF3431"/>
    <w:rsid w:val="00DF35A0"/>
    <w:rsid w:val="00DF35EE"/>
    <w:rsid w:val="00DF38A2"/>
    <w:rsid w:val="00DF3CBF"/>
    <w:rsid w:val="00DF414A"/>
    <w:rsid w:val="00DF4401"/>
    <w:rsid w:val="00DF4FAA"/>
    <w:rsid w:val="00DF4FB6"/>
    <w:rsid w:val="00DF58C2"/>
    <w:rsid w:val="00DF5C8B"/>
    <w:rsid w:val="00DF6422"/>
    <w:rsid w:val="00DF6D77"/>
    <w:rsid w:val="00DF75AB"/>
    <w:rsid w:val="00E00427"/>
    <w:rsid w:val="00E00EBA"/>
    <w:rsid w:val="00E00F3A"/>
    <w:rsid w:val="00E01E05"/>
    <w:rsid w:val="00E022D3"/>
    <w:rsid w:val="00E0242B"/>
    <w:rsid w:val="00E02522"/>
    <w:rsid w:val="00E0258D"/>
    <w:rsid w:val="00E0423B"/>
    <w:rsid w:val="00E054E2"/>
    <w:rsid w:val="00E062F4"/>
    <w:rsid w:val="00E07D63"/>
    <w:rsid w:val="00E107A8"/>
    <w:rsid w:val="00E113DC"/>
    <w:rsid w:val="00E119F9"/>
    <w:rsid w:val="00E11D37"/>
    <w:rsid w:val="00E121CC"/>
    <w:rsid w:val="00E124CC"/>
    <w:rsid w:val="00E128B0"/>
    <w:rsid w:val="00E13050"/>
    <w:rsid w:val="00E1328D"/>
    <w:rsid w:val="00E13871"/>
    <w:rsid w:val="00E13F45"/>
    <w:rsid w:val="00E14432"/>
    <w:rsid w:val="00E144DD"/>
    <w:rsid w:val="00E148FF"/>
    <w:rsid w:val="00E1492C"/>
    <w:rsid w:val="00E15258"/>
    <w:rsid w:val="00E167F5"/>
    <w:rsid w:val="00E16BB8"/>
    <w:rsid w:val="00E16C3B"/>
    <w:rsid w:val="00E16DFB"/>
    <w:rsid w:val="00E171E1"/>
    <w:rsid w:val="00E201C5"/>
    <w:rsid w:val="00E20374"/>
    <w:rsid w:val="00E206EA"/>
    <w:rsid w:val="00E207C4"/>
    <w:rsid w:val="00E2093C"/>
    <w:rsid w:val="00E20B5F"/>
    <w:rsid w:val="00E20EF3"/>
    <w:rsid w:val="00E211E5"/>
    <w:rsid w:val="00E21573"/>
    <w:rsid w:val="00E21655"/>
    <w:rsid w:val="00E222CE"/>
    <w:rsid w:val="00E227D6"/>
    <w:rsid w:val="00E22AAF"/>
    <w:rsid w:val="00E22BE4"/>
    <w:rsid w:val="00E23FEC"/>
    <w:rsid w:val="00E23FEE"/>
    <w:rsid w:val="00E2418C"/>
    <w:rsid w:val="00E24430"/>
    <w:rsid w:val="00E2466D"/>
    <w:rsid w:val="00E254EF"/>
    <w:rsid w:val="00E25A39"/>
    <w:rsid w:val="00E2672A"/>
    <w:rsid w:val="00E267D1"/>
    <w:rsid w:val="00E26C21"/>
    <w:rsid w:val="00E26E4E"/>
    <w:rsid w:val="00E27149"/>
    <w:rsid w:val="00E2779C"/>
    <w:rsid w:val="00E31279"/>
    <w:rsid w:val="00E3190D"/>
    <w:rsid w:val="00E32566"/>
    <w:rsid w:val="00E32615"/>
    <w:rsid w:val="00E327C5"/>
    <w:rsid w:val="00E3393B"/>
    <w:rsid w:val="00E34A4B"/>
    <w:rsid w:val="00E34CB5"/>
    <w:rsid w:val="00E35CF7"/>
    <w:rsid w:val="00E35DE6"/>
    <w:rsid w:val="00E3608B"/>
    <w:rsid w:val="00E367F7"/>
    <w:rsid w:val="00E372C8"/>
    <w:rsid w:val="00E37C18"/>
    <w:rsid w:val="00E37C9E"/>
    <w:rsid w:val="00E37DCA"/>
    <w:rsid w:val="00E416F4"/>
    <w:rsid w:val="00E41D7B"/>
    <w:rsid w:val="00E42036"/>
    <w:rsid w:val="00E420AF"/>
    <w:rsid w:val="00E425E3"/>
    <w:rsid w:val="00E42D85"/>
    <w:rsid w:val="00E43597"/>
    <w:rsid w:val="00E43676"/>
    <w:rsid w:val="00E454FB"/>
    <w:rsid w:val="00E45529"/>
    <w:rsid w:val="00E462CD"/>
    <w:rsid w:val="00E46410"/>
    <w:rsid w:val="00E46C54"/>
    <w:rsid w:val="00E475E8"/>
    <w:rsid w:val="00E50A05"/>
    <w:rsid w:val="00E50B4A"/>
    <w:rsid w:val="00E51C68"/>
    <w:rsid w:val="00E51EE0"/>
    <w:rsid w:val="00E53AA7"/>
    <w:rsid w:val="00E5428C"/>
    <w:rsid w:val="00E54DF8"/>
    <w:rsid w:val="00E5537C"/>
    <w:rsid w:val="00E56180"/>
    <w:rsid w:val="00E5622C"/>
    <w:rsid w:val="00E5624A"/>
    <w:rsid w:val="00E56305"/>
    <w:rsid w:val="00E57050"/>
    <w:rsid w:val="00E57483"/>
    <w:rsid w:val="00E575FC"/>
    <w:rsid w:val="00E57B28"/>
    <w:rsid w:val="00E57DCD"/>
    <w:rsid w:val="00E606A8"/>
    <w:rsid w:val="00E60756"/>
    <w:rsid w:val="00E61157"/>
    <w:rsid w:val="00E614D7"/>
    <w:rsid w:val="00E61DC9"/>
    <w:rsid w:val="00E6365C"/>
    <w:rsid w:val="00E6376F"/>
    <w:rsid w:val="00E643BE"/>
    <w:rsid w:val="00E65061"/>
    <w:rsid w:val="00E650B8"/>
    <w:rsid w:val="00E65743"/>
    <w:rsid w:val="00E657EC"/>
    <w:rsid w:val="00E65817"/>
    <w:rsid w:val="00E66A61"/>
    <w:rsid w:val="00E67105"/>
    <w:rsid w:val="00E67DA8"/>
    <w:rsid w:val="00E70063"/>
    <w:rsid w:val="00E70382"/>
    <w:rsid w:val="00E70F85"/>
    <w:rsid w:val="00E71340"/>
    <w:rsid w:val="00E714EC"/>
    <w:rsid w:val="00E72202"/>
    <w:rsid w:val="00E72498"/>
    <w:rsid w:val="00E72B4B"/>
    <w:rsid w:val="00E72BE6"/>
    <w:rsid w:val="00E72C97"/>
    <w:rsid w:val="00E72D49"/>
    <w:rsid w:val="00E72EB4"/>
    <w:rsid w:val="00E73288"/>
    <w:rsid w:val="00E739D5"/>
    <w:rsid w:val="00E73C31"/>
    <w:rsid w:val="00E73C5B"/>
    <w:rsid w:val="00E73CC9"/>
    <w:rsid w:val="00E74778"/>
    <w:rsid w:val="00E74E1F"/>
    <w:rsid w:val="00E74E7D"/>
    <w:rsid w:val="00E74EA7"/>
    <w:rsid w:val="00E751F9"/>
    <w:rsid w:val="00E7604E"/>
    <w:rsid w:val="00E761BC"/>
    <w:rsid w:val="00E7632B"/>
    <w:rsid w:val="00E76B17"/>
    <w:rsid w:val="00E76B89"/>
    <w:rsid w:val="00E7714C"/>
    <w:rsid w:val="00E774A6"/>
    <w:rsid w:val="00E8180C"/>
    <w:rsid w:val="00E81A66"/>
    <w:rsid w:val="00E81FCA"/>
    <w:rsid w:val="00E823FF"/>
    <w:rsid w:val="00E82556"/>
    <w:rsid w:val="00E82B60"/>
    <w:rsid w:val="00E82D4E"/>
    <w:rsid w:val="00E838C8"/>
    <w:rsid w:val="00E85513"/>
    <w:rsid w:val="00E862A4"/>
    <w:rsid w:val="00E8630F"/>
    <w:rsid w:val="00E86360"/>
    <w:rsid w:val="00E87071"/>
    <w:rsid w:val="00E87B53"/>
    <w:rsid w:val="00E87F18"/>
    <w:rsid w:val="00E90455"/>
    <w:rsid w:val="00E90BD6"/>
    <w:rsid w:val="00E91B15"/>
    <w:rsid w:val="00E92356"/>
    <w:rsid w:val="00E92B96"/>
    <w:rsid w:val="00E92D84"/>
    <w:rsid w:val="00E93B8F"/>
    <w:rsid w:val="00E94699"/>
    <w:rsid w:val="00E953FE"/>
    <w:rsid w:val="00E95B65"/>
    <w:rsid w:val="00E96D71"/>
    <w:rsid w:val="00E9740C"/>
    <w:rsid w:val="00EA083D"/>
    <w:rsid w:val="00EA086D"/>
    <w:rsid w:val="00EA0A44"/>
    <w:rsid w:val="00EA117F"/>
    <w:rsid w:val="00EA1600"/>
    <w:rsid w:val="00EA18DE"/>
    <w:rsid w:val="00EA1EC8"/>
    <w:rsid w:val="00EA2309"/>
    <w:rsid w:val="00EA279F"/>
    <w:rsid w:val="00EA2CE1"/>
    <w:rsid w:val="00EA2E7D"/>
    <w:rsid w:val="00EA31A1"/>
    <w:rsid w:val="00EA36BC"/>
    <w:rsid w:val="00EA3CB1"/>
    <w:rsid w:val="00EA3D9C"/>
    <w:rsid w:val="00EA432F"/>
    <w:rsid w:val="00EA43C5"/>
    <w:rsid w:val="00EA56A1"/>
    <w:rsid w:val="00EA5C2C"/>
    <w:rsid w:val="00EA5C75"/>
    <w:rsid w:val="00EA6578"/>
    <w:rsid w:val="00EA6DFA"/>
    <w:rsid w:val="00EA716D"/>
    <w:rsid w:val="00EA71E2"/>
    <w:rsid w:val="00EA72C3"/>
    <w:rsid w:val="00EB00B3"/>
    <w:rsid w:val="00EB0197"/>
    <w:rsid w:val="00EB0669"/>
    <w:rsid w:val="00EB088D"/>
    <w:rsid w:val="00EB0EAF"/>
    <w:rsid w:val="00EB112F"/>
    <w:rsid w:val="00EB13AF"/>
    <w:rsid w:val="00EB18D6"/>
    <w:rsid w:val="00EB213F"/>
    <w:rsid w:val="00EB26AB"/>
    <w:rsid w:val="00EB30DE"/>
    <w:rsid w:val="00EB35E7"/>
    <w:rsid w:val="00EB36A5"/>
    <w:rsid w:val="00EB4BDC"/>
    <w:rsid w:val="00EB4DFE"/>
    <w:rsid w:val="00EB4F30"/>
    <w:rsid w:val="00EB520E"/>
    <w:rsid w:val="00EB5A23"/>
    <w:rsid w:val="00EB5C49"/>
    <w:rsid w:val="00EB5D82"/>
    <w:rsid w:val="00EB62A9"/>
    <w:rsid w:val="00EB767F"/>
    <w:rsid w:val="00EB7BFB"/>
    <w:rsid w:val="00EC0F03"/>
    <w:rsid w:val="00EC0F8E"/>
    <w:rsid w:val="00EC10C8"/>
    <w:rsid w:val="00EC12EC"/>
    <w:rsid w:val="00EC1C2C"/>
    <w:rsid w:val="00EC1C5D"/>
    <w:rsid w:val="00EC2140"/>
    <w:rsid w:val="00EC26BD"/>
    <w:rsid w:val="00EC2EF9"/>
    <w:rsid w:val="00EC3408"/>
    <w:rsid w:val="00EC3555"/>
    <w:rsid w:val="00EC3E79"/>
    <w:rsid w:val="00EC40A1"/>
    <w:rsid w:val="00EC47AE"/>
    <w:rsid w:val="00EC4A5B"/>
    <w:rsid w:val="00EC500D"/>
    <w:rsid w:val="00EC5235"/>
    <w:rsid w:val="00EC52EC"/>
    <w:rsid w:val="00EC5C14"/>
    <w:rsid w:val="00EC5FED"/>
    <w:rsid w:val="00EC63EC"/>
    <w:rsid w:val="00EC641D"/>
    <w:rsid w:val="00EC68B1"/>
    <w:rsid w:val="00EC6EB9"/>
    <w:rsid w:val="00EC7227"/>
    <w:rsid w:val="00EC7A7C"/>
    <w:rsid w:val="00ED10E9"/>
    <w:rsid w:val="00ED1841"/>
    <w:rsid w:val="00ED34D5"/>
    <w:rsid w:val="00ED34F3"/>
    <w:rsid w:val="00ED4A05"/>
    <w:rsid w:val="00ED5510"/>
    <w:rsid w:val="00ED591E"/>
    <w:rsid w:val="00ED5E7E"/>
    <w:rsid w:val="00ED6093"/>
    <w:rsid w:val="00ED62C3"/>
    <w:rsid w:val="00ED6523"/>
    <w:rsid w:val="00ED696F"/>
    <w:rsid w:val="00ED6DA4"/>
    <w:rsid w:val="00ED71F4"/>
    <w:rsid w:val="00ED750A"/>
    <w:rsid w:val="00ED7DEC"/>
    <w:rsid w:val="00EE0B47"/>
    <w:rsid w:val="00EE1287"/>
    <w:rsid w:val="00EE1B39"/>
    <w:rsid w:val="00EE2671"/>
    <w:rsid w:val="00EE27F1"/>
    <w:rsid w:val="00EE28E8"/>
    <w:rsid w:val="00EE31BE"/>
    <w:rsid w:val="00EE323B"/>
    <w:rsid w:val="00EE343D"/>
    <w:rsid w:val="00EE35FB"/>
    <w:rsid w:val="00EE39E1"/>
    <w:rsid w:val="00EE39FE"/>
    <w:rsid w:val="00EE42E9"/>
    <w:rsid w:val="00EE53CC"/>
    <w:rsid w:val="00EE5719"/>
    <w:rsid w:val="00EE5756"/>
    <w:rsid w:val="00EE60DF"/>
    <w:rsid w:val="00EE6571"/>
    <w:rsid w:val="00EE68BF"/>
    <w:rsid w:val="00EE725C"/>
    <w:rsid w:val="00EE745B"/>
    <w:rsid w:val="00EE765C"/>
    <w:rsid w:val="00EE7A26"/>
    <w:rsid w:val="00EE7A3A"/>
    <w:rsid w:val="00EF071F"/>
    <w:rsid w:val="00EF0C73"/>
    <w:rsid w:val="00EF0CF2"/>
    <w:rsid w:val="00EF102F"/>
    <w:rsid w:val="00EF13CA"/>
    <w:rsid w:val="00EF14A3"/>
    <w:rsid w:val="00EF2331"/>
    <w:rsid w:val="00EF252C"/>
    <w:rsid w:val="00EF372D"/>
    <w:rsid w:val="00EF374A"/>
    <w:rsid w:val="00EF3ECE"/>
    <w:rsid w:val="00EF3F26"/>
    <w:rsid w:val="00EF4FA7"/>
    <w:rsid w:val="00EF5148"/>
    <w:rsid w:val="00EF525A"/>
    <w:rsid w:val="00EF52BE"/>
    <w:rsid w:val="00EF5AA9"/>
    <w:rsid w:val="00EF66C7"/>
    <w:rsid w:val="00EF6DE1"/>
    <w:rsid w:val="00EF6EA4"/>
    <w:rsid w:val="00EF7E4D"/>
    <w:rsid w:val="00F008EE"/>
    <w:rsid w:val="00F01324"/>
    <w:rsid w:val="00F016C8"/>
    <w:rsid w:val="00F016DE"/>
    <w:rsid w:val="00F01DD7"/>
    <w:rsid w:val="00F03178"/>
    <w:rsid w:val="00F03533"/>
    <w:rsid w:val="00F0378B"/>
    <w:rsid w:val="00F037FC"/>
    <w:rsid w:val="00F043ED"/>
    <w:rsid w:val="00F04F7F"/>
    <w:rsid w:val="00F05C69"/>
    <w:rsid w:val="00F06695"/>
    <w:rsid w:val="00F1014C"/>
    <w:rsid w:val="00F118E8"/>
    <w:rsid w:val="00F128D3"/>
    <w:rsid w:val="00F12AEE"/>
    <w:rsid w:val="00F139BC"/>
    <w:rsid w:val="00F139C1"/>
    <w:rsid w:val="00F142CD"/>
    <w:rsid w:val="00F150B0"/>
    <w:rsid w:val="00F15352"/>
    <w:rsid w:val="00F15C22"/>
    <w:rsid w:val="00F168CC"/>
    <w:rsid w:val="00F16BE9"/>
    <w:rsid w:val="00F16D0E"/>
    <w:rsid w:val="00F1740D"/>
    <w:rsid w:val="00F176C1"/>
    <w:rsid w:val="00F17738"/>
    <w:rsid w:val="00F17D75"/>
    <w:rsid w:val="00F2021B"/>
    <w:rsid w:val="00F20A7A"/>
    <w:rsid w:val="00F21146"/>
    <w:rsid w:val="00F21530"/>
    <w:rsid w:val="00F2347E"/>
    <w:rsid w:val="00F239BA"/>
    <w:rsid w:val="00F241C9"/>
    <w:rsid w:val="00F2425E"/>
    <w:rsid w:val="00F246E2"/>
    <w:rsid w:val="00F2480D"/>
    <w:rsid w:val="00F24B51"/>
    <w:rsid w:val="00F24E4C"/>
    <w:rsid w:val="00F2535D"/>
    <w:rsid w:val="00F255B1"/>
    <w:rsid w:val="00F25B77"/>
    <w:rsid w:val="00F26692"/>
    <w:rsid w:val="00F26E96"/>
    <w:rsid w:val="00F2795A"/>
    <w:rsid w:val="00F27FC2"/>
    <w:rsid w:val="00F30E54"/>
    <w:rsid w:val="00F3105E"/>
    <w:rsid w:val="00F3115F"/>
    <w:rsid w:val="00F314B0"/>
    <w:rsid w:val="00F31AD9"/>
    <w:rsid w:val="00F31F8E"/>
    <w:rsid w:val="00F320A8"/>
    <w:rsid w:val="00F337F5"/>
    <w:rsid w:val="00F339D8"/>
    <w:rsid w:val="00F33B6F"/>
    <w:rsid w:val="00F33D2F"/>
    <w:rsid w:val="00F33DEA"/>
    <w:rsid w:val="00F345E1"/>
    <w:rsid w:val="00F34E00"/>
    <w:rsid w:val="00F35EE1"/>
    <w:rsid w:val="00F377A7"/>
    <w:rsid w:val="00F37AD2"/>
    <w:rsid w:val="00F37B75"/>
    <w:rsid w:val="00F37C24"/>
    <w:rsid w:val="00F40526"/>
    <w:rsid w:val="00F409B4"/>
    <w:rsid w:val="00F40BC2"/>
    <w:rsid w:val="00F4125A"/>
    <w:rsid w:val="00F413DF"/>
    <w:rsid w:val="00F41412"/>
    <w:rsid w:val="00F416A6"/>
    <w:rsid w:val="00F4185F"/>
    <w:rsid w:val="00F41D12"/>
    <w:rsid w:val="00F41E07"/>
    <w:rsid w:val="00F428AA"/>
    <w:rsid w:val="00F42A2F"/>
    <w:rsid w:val="00F43016"/>
    <w:rsid w:val="00F435A0"/>
    <w:rsid w:val="00F436FE"/>
    <w:rsid w:val="00F43B4C"/>
    <w:rsid w:val="00F44915"/>
    <w:rsid w:val="00F44A77"/>
    <w:rsid w:val="00F44FB8"/>
    <w:rsid w:val="00F450EB"/>
    <w:rsid w:val="00F45268"/>
    <w:rsid w:val="00F45895"/>
    <w:rsid w:val="00F46237"/>
    <w:rsid w:val="00F46396"/>
    <w:rsid w:val="00F46555"/>
    <w:rsid w:val="00F46E27"/>
    <w:rsid w:val="00F46E71"/>
    <w:rsid w:val="00F473FB"/>
    <w:rsid w:val="00F4750C"/>
    <w:rsid w:val="00F475B0"/>
    <w:rsid w:val="00F47E05"/>
    <w:rsid w:val="00F50108"/>
    <w:rsid w:val="00F50260"/>
    <w:rsid w:val="00F507B0"/>
    <w:rsid w:val="00F509D9"/>
    <w:rsid w:val="00F518F6"/>
    <w:rsid w:val="00F51B2D"/>
    <w:rsid w:val="00F523B6"/>
    <w:rsid w:val="00F52615"/>
    <w:rsid w:val="00F5327D"/>
    <w:rsid w:val="00F53727"/>
    <w:rsid w:val="00F53D03"/>
    <w:rsid w:val="00F54802"/>
    <w:rsid w:val="00F54F43"/>
    <w:rsid w:val="00F5520C"/>
    <w:rsid w:val="00F5525D"/>
    <w:rsid w:val="00F555C0"/>
    <w:rsid w:val="00F57319"/>
    <w:rsid w:val="00F5741A"/>
    <w:rsid w:val="00F575E3"/>
    <w:rsid w:val="00F576B5"/>
    <w:rsid w:val="00F57758"/>
    <w:rsid w:val="00F60027"/>
    <w:rsid w:val="00F6014C"/>
    <w:rsid w:val="00F60E97"/>
    <w:rsid w:val="00F612EE"/>
    <w:rsid w:val="00F61B80"/>
    <w:rsid w:val="00F61D98"/>
    <w:rsid w:val="00F62288"/>
    <w:rsid w:val="00F6288F"/>
    <w:rsid w:val="00F629A7"/>
    <w:rsid w:val="00F62F3D"/>
    <w:rsid w:val="00F63C08"/>
    <w:rsid w:val="00F64D3C"/>
    <w:rsid w:val="00F64E2F"/>
    <w:rsid w:val="00F6518A"/>
    <w:rsid w:val="00F666CA"/>
    <w:rsid w:val="00F66A75"/>
    <w:rsid w:val="00F66ABB"/>
    <w:rsid w:val="00F67524"/>
    <w:rsid w:val="00F67949"/>
    <w:rsid w:val="00F67E23"/>
    <w:rsid w:val="00F67F07"/>
    <w:rsid w:val="00F70C5D"/>
    <w:rsid w:val="00F70EEF"/>
    <w:rsid w:val="00F7192F"/>
    <w:rsid w:val="00F71D03"/>
    <w:rsid w:val="00F71D35"/>
    <w:rsid w:val="00F7245C"/>
    <w:rsid w:val="00F72A22"/>
    <w:rsid w:val="00F72C77"/>
    <w:rsid w:val="00F7368A"/>
    <w:rsid w:val="00F736A7"/>
    <w:rsid w:val="00F74867"/>
    <w:rsid w:val="00F748EF"/>
    <w:rsid w:val="00F74A5D"/>
    <w:rsid w:val="00F75536"/>
    <w:rsid w:val="00F757D4"/>
    <w:rsid w:val="00F7594B"/>
    <w:rsid w:val="00F75B8E"/>
    <w:rsid w:val="00F77013"/>
    <w:rsid w:val="00F771A9"/>
    <w:rsid w:val="00F778E8"/>
    <w:rsid w:val="00F80A35"/>
    <w:rsid w:val="00F81592"/>
    <w:rsid w:val="00F816DC"/>
    <w:rsid w:val="00F81E77"/>
    <w:rsid w:val="00F8226E"/>
    <w:rsid w:val="00F83D68"/>
    <w:rsid w:val="00F84AF4"/>
    <w:rsid w:val="00F85799"/>
    <w:rsid w:val="00F859F1"/>
    <w:rsid w:val="00F85AA0"/>
    <w:rsid w:val="00F87556"/>
    <w:rsid w:val="00F87E8C"/>
    <w:rsid w:val="00F90272"/>
    <w:rsid w:val="00F905E0"/>
    <w:rsid w:val="00F9064E"/>
    <w:rsid w:val="00F908DF"/>
    <w:rsid w:val="00F91369"/>
    <w:rsid w:val="00F91F6F"/>
    <w:rsid w:val="00F926D8"/>
    <w:rsid w:val="00F928DB"/>
    <w:rsid w:val="00F92AB0"/>
    <w:rsid w:val="00F92BAD"/>
    <w:rsid w:val="00F93687"/>
    <w:rsid w:val="00F93877"/>
    <w:rsid w:val="00F93C6D"/>
    <w:rsid w:val="00F94262"/>
    <w:rsid w:val="00F94C2B"/>
    <w:rsid w:val="00F94FDF"/>
    <w:rsid w:val="00F952CC"/>
    <w:rsid w:val="00F952F8"/>
    <w:rsid w:val="00F9531D"/>
    <w:rsid w:val="00F95422"/>
    <w:rsid w:val="00F95B28"/>
    <w:rsid w:val="00F95F2E"/>
    <w:rsid w:val="00F963F2"/>
    <w:rsid w:val="00F96CFA"/>
    <w:rsid w:val="00F9774D"/>
    <w:rsid w:val="00F97B11"/>
    <w:rsid w:val="00FA04C4"/>
    <w:rsid w:val="00FA0665"/>
    <w:rsid w:val="00FA070A"/>
    <w:rsid w:val="00FA0E93"/>
    <w:rsid w:val="00FA112E"/>
    <w:rsid w:val="00FA11A9"/>
    <w:rsid w:val="00FA11FC"/>
    <w:rsid w:val="00FA295E"/>
    <w:rsid w:val="00FA2B85"/>
    <w:rsid w:val="00FA2F3E"/>
    <w:rsid w:val="00FA43C5"/>
    <w:rsid w:val="00FA44C9"/>
    <w:rsid w:val="00FA5498"/>
    <w:rsid w:val="00FA5F4C"/>
    <w:rsid w:val="00FA6D37"/>
    <w:rsid w:val="00FA7160"/>
    <w:rsid w:val="00FA77EB"/>
    <w:rsid w:val="00FA7923"/>
    <w:rsid w:val="00FA7FBA"/>
    <w:rsid w:val="00FB0034"/>
    <w:rsid w:val="00FB01F6"/>
    <w:rsid w:val="00FB038A"/>
    <w:rsid w:val="00FB04DD"/>
    <w:rsid w:val="00FB10AB"/>
    <w:rsid w:val="00FB2638"/>
    <w:rsid w:val="00FB32E0"/>
    <w:rsid w:val="00FB3B8C"/>
    <w:rsid w:val="00FB3D70"/>
    <w:rsid w:val="00FB3DF1"/>
    <w:rsid w:val="00FB3EFA"/>
    <w:rsid w:val="00FB420C"/>
    <w:rsid w:val="00FB4322"/>
    <w:rsid w:val="00FB46EA"/>
    <w:rsid w:val="00FB4F4B"/>
    <w:rsid w:val="00FB5B4A"/>
    <w:rsid w:val="00FB5E98"/>
    <w:rsid w:val="00FB5EFF"/>
    <w:rsid w:val="00FB6202"/>
    <w:rsid w:val="00FB6375"/>
    <w:rsid w:val="00FB6551"/>
    <w:rsid w:val="00FB68D2"/>
    <w:rsid w:val="00FB6CAC"/>
    <w:rsid w:val="00FB7180"/>
    <w:rsid w:val="00FB7598"/>
    <w:rsid w:val="00FC00AC"/>
    <w:rsid w:val="00FC0494"/>
    <w:rsid w:val="00FC1243"/>
    <w:rsid w:val="00FC20D6"/>
    <w:rsid w:val="00FC3524"/>
    <w:rsid w:val="00FC3F7E"/>
    <w:rsid w:val="00FC4092"/>
    <w:rsid w:val="00FC42B8"/>
    <w:rsid w:val="00FC4355"/>
    <w:rsid w:val="00FC4743"/>
    <w:rsid w:val="00FC48B8"/>
    <w:rsid w:val="00FC4948"/>
    <w:rsid w:val="00FC4B00"/>
    <w:rsid w:val="00FC5BE0"/>
    <w:rsid w:val="00FC65D1"/>
    <w:rsid w:val="00FC6C64"/>
    <w:rsid w:val="00FC6CAD"/>
    <w:rsid w:val="00FC6DF7"/>
    <w:rsid w:val="00FD00C3"/>
    <w:rsid w:val="00FD0221"/>
    <w:rsid w:val="00FD05B5"/>
    <w:rsid w:val="00FD0797"/>
    <w:rsid w:val="00FD0DB5"/>
    <w:rsid w:val="00FD13C0"/>
    <w:rsid w:val="00FD16AD"/>
    <w:rsid w:val="00FD2A5A"/>
    <w:rsid w:val="00FD3010"/>
    <w:rsid w:val="00FD34B9"/>
    <w:rsid w:val="00FD478F"/>
    <w:rsid w:val="00FD4B12"/>
    <w:rsid w:val="00FD4C37"/>
    <w:rsid w:val="00FD54A0"/>
    <w:rsid w:val="00FD586A"/>
    <w:rsid w:val="00FD5DCC"/>
    <w:rsid w:val="00FD6A68"/>
    <w:rsid w:val="00FD6CA5"/>
    <w:rsid w:val="00FD700C"/>
    <w:rsid w:val="00FD7462"/>
    <w:rsid w:val="00FE0022"/>
    <w:rsid w:val="00FE00F5"/>
    <w:rsid w:val="00FE02D3"/>
    <w:rsid w:val="00FE0C42"/>
    <w:rsid w:val="00FE0DDE"/>
    <w:rsid w:val="00FE14D9"/>
    <w:rsid w:val="00FE1CF3"/>
    <w:rsid w:val="00FE1E80"/>
    <w:rsid w:val="00FE2735"/>
    <w:rsid w:val="00FE2998"/>
    <w:rsid w:val="00FE33B4"/>
    <w:rsid w:val="00FE3EB6"/>
    <w:rsid w:val="00FE3F39"/>
    <w:rsid w:val="00FE519B"/>
    <w:rsid w:val="00FE6481"/>
    <w:rsid w:val="00FE69C6"/>
    <w:rsid w:val="00FE69E7"/>
    <w:rsid w:val="00FE7267"/>
    <w:rsid w:val="00FE72FF"/>
    <w:rsid w:val="00FE7537"/>
    <w:rsid w:val="00FE753E"/>
    <w:rsid w:val="00FE77FE"/>
    <w:rsid w:val="00FF0981"/>
    <w:rsid w:val="00FF0BC7"/>
    <w:rsid w:val="00FF119B"/>
    <w:rsid w:val="00FF1228"/>
    <w:rsid w:val="00FF13AE"/>
    <w:rsid w:val="00FF1604"/>
    <w:rsid w:val="00FF16C9"/>
    <w:rsid w:val="00FF16E0"/>
    <w:rsid w:val="00FF170C"/>
    <w:rsid w:val="00FF1BF9"/>
    <w:rsid w:val="00FF20CF"/>
    <w:rsid w:val="00FF25B1"/>
    <w:rsid w:val="00FF25D9"/>
    <w:rsid w:val="00FF2966"/>
    <w:rsid w:val="00FF2F6B"/>
    <w:rsid w:val="00FF353C"/>
    <w:rsid w:val="00FF3781"/>
    <w:rsid w:val="00FF4A6C"/>
    <w:rsid w:val="00FF53E3"/>
    <w:rsid w:val="00FF602C"/>
    <w:rsid w:val="00FF710E"/>
    <w:rsid w:val="00FF7419"/>
    <w:rsid w:val="00FF7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3B9FB"/>
  <w15:docId w15:val="{22AB0FEE-1505-4AA6-83C4-3693DB1B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DA"/>
    <w:rPr>
      <w:sz w:val="24"/>
      <w:szCs w:val="24"/>
    </w:rPr>
  </w:style>
  <w:style w:type="paragraph" w:styleId="Heading1">
    <w:name w:val="heading 1"/>
    <w:basedOn w:val="Normal"/>
    <w:next w:val="Normal"/>
    <w:link w:val="Heading1Char"/>
    <w:qFormat/>
    <w:rsid w:val="00872A4A"/>
    <w:pPr>
      <w:keepNext/>
      <w:outlineLvl w:val="0"/>
    </w:pPr>
    <w:rPr>
      <w:u w:val="single"/>
    </w:rPr>
  </w:style>
  <w:style w:type="paragraph" w:styleId="Heading2">
    <w:name w:val="heading 2"/>
    <w:basedOn w:val="Normal"/>
    <w:next w:val="Normal"/>
    <w:link w:val="Heading2Char"/>
    <w:qFormat/>
    <w:rsid w:val="00872A4A"/>
    <w:pPr>
      <w:keepNext/>
      <w:jc w:val="center"/>
      <w:outlineLvl w:val="1"/>
    </w:pPr>
    <w:rPr>
      <w:u w:val="single"/>
    </w:rPr>
  </w:style>
  <w:style w:type="paragraph" w:styleId="Heading3">
    <w:name w:val="heading 3"/>
    <w:basedOn w:val="Normal"/>
    <w:next w:val="Normal"/>
    <w:link w:val="Heading3Char"/>
    <w:qFormat/>
    <w:rsid w:val="00872A4A"/>
    <w:pPr>
      <w:keepNext/>
      <w:jc w:val="center"/>
      <w:outlineLvl w:val="2"/>
    </w:pPr>
    <w:rPr>
      <w:rFonts w:ascii="Arial" w:hAnsi="Arial" w:cs="Arial"/>
      <w:sz w:val="144"/>
    </w:rPr>
  </w:style>
  <w:style w:type="paragraph" w:styleId="Heading4">
    <w:name w:val="heading 4"/>
    <w:basedOn w:val="Normal"/>
    <w:next w:val="Normal"/>
    <w:link w:val="Heading4Char"/>
    <w:qFormat/>
    <w:rsid w:val="00872A4A"/>
    <w:pPr>
      <w:keepNext/>
      <w:outlineLvl w:val="3"/>
    </w:pPr>
    <w:rPr>
      <w:rFonts w:ascii="Arial" w:hAnsi="Arial" w:cs="Arial"/>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419E3"/>
    <w:rPr>
      <w:rFonts w:cs="Times New Roman"/>
      <w:sz w:val="24"/>
      <w:szCs w:val="24"/>
      <w:u w:val="single"/>
    </w:rPr>
  </w:style>
  <w:style w:type="character" w:customStyle="1" w:styleId="Heading2Char">
    <w:name w:val="Heading 2 Char"/>
    <w:link w:val="Heading2"/>
    <w:locked/>
    <w:rsid w:val="000419E3"/>
    <w:rPr>
      <w:rFonts w:cs="Times New Roman"/>
      <w:sz w:val="24"/>
      <w:szCs w:val="24"/>
      <w:u w:val="single"/>
    </w:rPr>
  </w:style>
  <w:style w:type="character" w:customStyle="1" w:styleId="Heading3Char">
    <w:name w:val="Heading 3 Char"/>
    <w:link w:val="Heading3"/>
    <w:locked/>
    <w:rsid w:val="000419E3"/>
    <w:rPr>
      <w:rFonts w:ascii="Arial" w:hAnsi="Arial" w:cs="Arial"/>
      <w:sz w:val="24"/>
      <w:szCs w:val="24"/>
    </w:rPr>
  </w:style>
  <w:style w:type="character" w:customStyle="1" w:styleId="Heading4Char">
    <w:name w:val="Heading 4 Char"/>
    <w:link w:val="Heading4"/>
    <w:locked/>
    <w:rsid w:val="000419E3"/>
    <w:rPr>
      <w:rFonts w:ascii="Arial" w:hAnsi="Arial" w:cs="Arial"/>
      <w:sz w:val="24"/>
      <w:szCs w:val="24"/>
    </w:rPr>
  </w:style>
  <w:style w:type="paragraph" w:styleId="Title">
    <w:name w:val="Title"/>
    <w:basedOn w:val="Normal"/>
    <w:link w:val="TitleChar"/>
    <w:qFormat/>
    <w:rsid w:val="00872A4A"/>
    <w:pPr>
      <w:jc w:val="center"/>
    </w:pPr>
    <w:rPr>
      <w:sz w:val="28"/>
    </w:rPr>
  </w:style>
  <w:style w:type="character" w:customStyle="1" w:styleId="TitleChar">
    <w:name w:val="Title Char"/>
    <w:link w:val="Title"/>
    <w:locked/>
    <w:rsid w:val="000419E3"/>
    <w:rPr>
      <w:rFonts w:cs="Times New Roman"/>
      <w:sz w:val="24"/>
      <w:szCs w:val="24"/>
    </w:rPr>
  </w:style>
  <w:style w:type="paragraph" w:styleId="Footer">
    <w:name w:val="footer"/>
    <w:basedOn w:val="Normal"/>
    <w:link w:val="FooterChar"/>
    <w:uiPriority w:val="99"/>
    <w:rsid w:val="00872A4A"/>
    <w:pPr>
      <w:tabs>
        <w:tab w:val="center" w:pos="4320"/>
        <w:tab w:val="right" w:pos="8640"/>
      </w:tabs>
    </w:pPr>
  </w:style>
  <w:style w:type="character" w:customStyle="1" w:styleId="FooterChar">
    <w:name w:val="Footer Char"/>
    <w:link w:val="Footer"/>
    <w:uiPriority w:val="99"/>
    <w:locked/>
    <w:rsid w:val="000419E3"/>
    <w:rPr>
      <w:rFonts w:cs="Times New Roman"/>
      <w:sz w:val="24"/>
      <w:szCs w:val="24"/>
    </w:rPr>
  </w:style>
  <w:style w:type="character" w:styleId="PageNumber">
    <w:name w:val="page number"/>
    <w:rsid w:val="00872A4A"/>
    <w:rPr>
      <w:rFonts w:cs="Times New Roman"/>
    </w:rPr>
  </w:style>
  <w:style w:type="paragraph" w:styleId="Header">
    <w:name w:val="header"/>
    <w:basedOn w:val="Normal"/>
    <w:link w:val="HeaderChar"/>
    <w:rsid w:val="00872A4A"/>
    <w:pPr>
      <w:tabs>
        <w:tab w:val="center" w:pos="4320"/>
        <w:tab w:val="right" w:pos="8640"/>
      </w:tabs>
    </w:pPr>
  </w:style>
  <w:style w:type="character" w:customStyle="1" w:styleId="HeaderChar">
    <w:name w:val="Header Char"/>
    <w:link w:val="Header"/>
    <w:locked/>
    <w:rsid w:val="000419E3"/>
    <w:rPr>
      <w:rFonts w:cs="Times New Roman"/>
      <w:sz w:val="24"/>
      <w:szCs w:val="24"/>
    </w:rPr>
  </w:style>
  <w:style w:type="paragraph" w:styleId="BodyText">
    <w:name w:val="Body Text"/>
    <w:basedOn w:val="Normal"/>
    <w:link w:val="BodyTextChar"/>
    <w:rsid w:val="00872A4A"/>
    <w:pPr>
      <w:spacing w:before="120"/>
    </w:pPr>
    <w:rPr>
      <w:rFonts w:ascii="Arial" w:hAnsi="Arial"/>
      <w:sz w:val="20"/>
    </w:rPr>
  </w:style>
  <w:style w:type="character" w:customStyle="1" w:styleId="BodyTextChar">
    <w:name w:val="Body Text Char"/>
    <w:link w:val="BodyText"/>
    <w:locked/>
    <w:rsid w:val="000419E3"/>
    <w:rPr>
      <w:rFonts w:ascii="Arial" w:hAnsi="Arial" w:cs="Times New Roman"/>
      <w:sz w:val="24"/>
      <w:szCs w:val="24"/>
    </w:rPr>
  </w:style>
  <w:style w:type="paragraph" w:styleId="EndnoteText">
    <w:name w:val="endnote text"/>
    <w:basedOn w:val="Normal"/>
    <w:link w:val="EndnoteTextChar"/>
    <w:rsid w:val="00872A4A"/>
    <w:rPr>
      <w:sz w:val="20"/>
      <w:szCs w:val="20"/>
    </w:rPr>
  </w:style>
  <w:style w:type="character" w:customStyle="1" w:styleId="EndnoteTextChar">
    <w:name w:val="Endnote Text Char"/>
    <w:link w:val="EndnoteText"/>
    <w:locked/>
    <w:rsid w:val="000419E3"/>
    <w:rPr>
      <w:rFonts w:cs="Times New Roman"/>
    </w:rPr>
  </w:style>
  <w:style w:type="character" w:styleId="EndnoteReference">
    <w:name w:val="endnote reference"/>
    <w:rsid w:val="00872A4A"/>
    <w:rPr>
      <w:rFonts w:cs="Times New Roman"/>
      <w:vertAlign w:val="superscript"/>
    </w:rPr>
  </w:style>
  <w:style w:type="paragraph" w:styleId="FootnoteText">
    <w:name w:val="footnote text"/>
    <w:basedOn w:val="Normal"/>
    <w:link w:val="FootnoteTextChar"/>
    <w:rsid w:val="00872A4A"/>
    <w:rPr>
      <w:sz w:val="20"/>
      <w:szCs w:val="20"/>
    </w:rPr>
  </w:style>
  <w:style w:type="character" w:customStyle="1" w:styleId="FootnoteTextChar">
    <w:name w:val="Footnote Text Char"/>
    <w:link w:val="FootnoteText"/>
    <w:locked/>
    <w:rsid w:val="000419E3"/>
    <w:rPr>
      <w:rFonts w:cs="Times New Roman"/>
      <w:lang w:val="en-US" w:eastAsia="en-US" w:bidi="ar-SA"/>
    </w:rPr>
  </w:style>
  <w:style w:type="character" w:styleId="FootnoteReference">
    <w:name w:val="footnote reference"/>
    <w:rsid w:val="00872A4A"/>
    <w:rPr>
      <w:rFonts w:cs="Times New Roman"/>
      <w:vertAlign w:val="superscript"/>
    </w:rPr>
  </w:style>
  <w:style w:type="paragraph" w:styleId="BodyText2">
    <w:name w:val="Body Text 2"/>
    <w:basedOn w:val="Normal"/>
    <w:link w:val="BodyText2Char"/>
    <w:rsid w:val="00872A4A"/>
    <w:pPr>
      <w:spacing w:after="120" w:line="480" w:lineRule="auto"/>
    </w:pPr>
  </w:style>
  <w:style w:type="character" w:customStyle="1" w:styleId="BodyText2Char">
    <w:name w:val="Body Text 2 Char"/>
    <w:link w:val="BodyText2"/>
    <w:locked/>
    <w:rsid w:val="000419E3"/>
    <w:rPr>
      <w:rFonts w:cs="Times New Roman"/>
      <w:sz w:val="24"/>
      <w:szCs w:val="24"/>
    </w:rPr>
  </w:style>
  <w:style w:type="paragraph" w:styleId="NormalWeb">
    <w:name w:val="Normal (Web)"/>
    <w:basedOn w:val="Normal"/>
    <w:rsid w:val="00872A4A"/>
    <w:pPr>
      <w:spacing w:before="100" w:beforeAutospacing="1" w:after="100" w:afterAutospacing="1"/>
    </w:pPr>
  </w:style>
  <w:style w:type="character" w:styleId="Hyperlink">
    <w:name w:val="Hyperlink"/>
    <w:rsid w:val="00872A4A"/>
    <w:rPr>
      <w:rFonts w:cs="Times New Roman"/>
      <w:color w:val="0000FF"/>
      <w:u w:val="single"/>
    </w:rPr>
  </w:style>
  <w:style w:type="character" w:styleId="FollowedHyperlink">
    <w:name w:val="FollowedHyperlink"/>
    <w:rsid w:val="00872A4A"/>
    <w:rPr>
      <w:rFonts w:cs="Times New Roman"/>
      <w:color w:val="800080"/>
      <w:u w:val="single"/>
    </w:rPr>
  </w:style>
  <w:style w:type="paragraph" w:styleId="BalloonText">
    <w:name w:val="Balloon Text"/>
    <w:basedOn w:val="Normal"/>
    <w:link w:val="BalloonTextChar"/>
    <w:rsid w:val="00872A4A"/>
    <w:rPr>
      <w:rFonts w:ascii="Tahoma" w:hAnsi="Tahoma" w:cs="Tahoma"/>
      <w:sz w:val="16"/>
      <w:szCs w:val="16"/>
    </w:rPr>
  </w:style>
  <w:style w:type="character" w:customStyle="1" w:styleId="BalloonTextChar">
    <w:name w:val="Balloon Text Char"/>
    <w:link w:val="BalloonText"/>
    <w:locked/>
    <w:rsid w:val="000419E3"/>
    <w:rPr>
      <w:rFonts w:ascii="Tahoma" w:hAnsi="Tahoma" w:cs="Tahoma"/>
      <w:sz w:val="16"/>
      <w:szCs w:val="16"/>
    </w:rPr>
  </w:style>
  <w:style w:type="paragraph" w:styleId="BodyTextIndent">
    <w:name w:val="Body Text Indent"/>
    <w:basedOn w:val="Normal"/>
    <w:link w:val="BodyTextIndentChar"/>
    <w:rsid w:val="00872A4A"/>
    <w:pPr>
      <w:ind w:left="720"/>
    </w:pPr>
  </w:style>
  <w:style w:type="character" w:customStyle="1" w:styleId="BodyTextIndentChar">
    <w:name w:val="Body Text Indent Char"/>
    <w:link w:val="BodyTextIndent"/>
    <w:locked/>
    <w:rsid w:val="000419E3"/>
    <w:rPr>
      <w:rFonts w:cs="Times New Roman"/>
      <w:sz w:val="24"/>
      <w:szCs w:val="24"/>
    </w:rPr>
  </w:style>
  <w:style w:type="paragraph" w:styleId="BodyText3">
    <w:name w:val="Body Text 3"/>
    <w:basedOn w:val="Normal"/>
    <w:link w:val="BodyText3Char"/>
    <w:rsid w:val="00872A4A"/>
    <w:rPr>
      <w:i/>
    </w:rPr>
  </w:style>
  <w:style w:type="character" w:customStyle="1" w:styleId="BodyText3Char">
    <w:name w:val="Body Text 3 Char"/>
    <w:link w:val="BodyText3"/>
    <w:locked/>
    <w:rsid w:val="000419E3"/>
    <w:rPr>
      <w:rFonts w:cs="Times New Roman"/>
      <w:i/>
      <w:sz w:val="24"/>
      <w:szCs w:val="24"/>
    </w:rPr>
  </w:style>
  <w:style w:type="paragraph" w:styleId="BodyTextIndent2">
    <w:name w:val="Body Text Indent 2"/>
    <w:basedOn w:val="Normal"/>
    <w:link w:val="BodyTextIndent2Char"/>
    <w:rsid w:val="00872A4A"/>
    <w:pPr>
      <w:ind w:left="1440" w:hanging="1440"/>
    </w:pPr>
  </w:style>
  <w:style w:type="character" w:customStyle="1" w:styleId="BodyTextIndent2Char">
    <w:name w:val="Body Text Indent 2 Char"/>
    <w:link w:val="BodyTextIndent2"/>
    <w:locked/>
    <w:rsid w:val="000419E3"/>
    <w:rPr>
      <w:rFonts w:cs="Times New Roman"/>
      <w:sz w:val="24"/>
      <w:szCs w:val="24"/>
    </w:rPr>
  </w:style>
  <w:style w:type="paragraph" w:customStyle="1" w:styleId="Default">
    <w:name w:val="Default"/>
    <w:rsid w:val="000419E3"/>
    <w:pPr>
      <w:widowControl w:val="0"/>
      <w:autoSpaceDE w:val="0"/>
      <w:autoSpaceDN w:val="0"/>
      <w:adjustRightInd w:val="0"/>
    </w:pPr>
    <w:rPr>
      <w:color w:val="000000"/>
      <w:sz w:val="24"/>
      <w:szCs w:val="24"/>
    </w:rPr>
  </w:style>
  <w:style w:type="paragraph" w:customStyle="1" w:styleId="CM4">
    <w:name w:val="CM4"/>
    <w:basedOn w:val="Default"/>
    <w:next w:val="Default"/>
    <w:rsid w:val="000419E3"/>
    <w:pPr>
      <w:spacing w:line="380" w:lineRule="atLeast"/>
    </w:pPr>
    <w:rPr>
      <w:color w:val="auto"/>
    </w:rPr>
  </w:style>
  <w:style w:type="paragraph" w:customStyle="1" w:styleId="CM19">
    <w:name w:val="CM19"/>
    <w:basedOn w:val="Default"/>
    <w:next w:val="Default"/>
    <w:rsid w:val="000419E3"/>
    <w:pPr>
      <w:spacing w:after="378"/>
    </w:pPr>
    <w:rPr>
      <w:color w:val="auto"/>
    </w:rPr>
  </w:style>
  <w:style w:type="paragraph" w:customStyle="1" w:styleId="CM20">
    <w:name w:val="CM20"/>
    <w:basedOn w:val="Default"/>
    <w:next w:val="Default"/>
    <w:rsid w:val="000419E3"/>
    <w:pPr>
      <w:spacing w:after="245"/>
    </w:pPr>
    <w:rPr>
      <w:color w:val="auto"/>
    </w:rPr>
  </w:style>
  <w:style w:type="paragraph" w:customStyle="1" w:styleId="CM5">
    <w:name w:val="CM5"/>
    <w:basedOn w:val="Default"/>
    <w:next w:val="Default"/>
    <w:rsid w:val="000419E3"/>
    <w:pPr>
      <w:spacing w:line="380" w:lineRule="atLeast"/>
    </w:pPr>
    <w:rPr>
      <w:color w:val="auto"/>
    </w:rPr>
  </w:style>
  <w:style w:type="paragraph" w:customStyle="1" w:styleId="CM6">
    <w:name w:val="CM6"/>
    <w:basedOn w:val="Default"/>
    <w:next w:val="Default"/>
    <w:rsid w:val="000419E3"/>
    <w:pPr>
      <w:spacing w:line="380" w:lineRule="atLeast"/>
    </w:pPr>
    <w:rPr>
      <w:color w:val="auto"/>
    </w:rPr>
  </w:style>
  <w:style w:type="paragraph" w:customStyle="1" w:styleId="CM21">
    <w:name w:val="CM21"/>
    <w:basedOn w:val="Default"/>
    <w:next w:val="Default"/>
    <w:rsid w:val="000419E3"/>
    <w:pPr>
      <w:spacing w:after="108"/>
    </w:pPr>
    <w:rPr>
      <w:color w:val="auto"/>
    </w:rPr>
  </w:style>
  <w:style w:type="paragraph" w:customStyle="1" w:styleId="CM8">
    <w:name w:val="CM8"/>
    <w:basedOn w:val="Default"/>
    <w:next w:val="Default"/>
    <w:rsid w:val="000419E3"/>
    <w:pPr>
      <w:spacing w:line="380" w:lineRule="atLeast"/>
    </w:pPr>
    <w:rPr>
      <w:color w:val="auto"/>
    </w:rPr>
  </w:style>
  <w:style w:type="paragraph" w:customStyle="1" w:styleId="CM7">
    <w:name w:val="CM7"/>
    <w:basedOn w:val="Default"/>
    <w:next w:val="Default"/>
    <w:rsid w:val="000419E3"/>
    <w:pPr>
      <w:spacing w:after="330"/>
    </w:pPr>
    <w:rPr>
      <w:rFonts w:ascii="Arial" w:hAnsi="Arial"/>
      <w:color w:val="auto"/>
    </w:rPr>
  </w:style>
  <w:style w:type="paragraph" w:customStyle="1" w:styleId="CM3">
    <w:name w:val="CM3"/>
    <w:basedOn w:val="Default"/>
    <w:next w:val="Default"/>
    <w:rsid w:val="000419E3"/>
    <w:pPr>
      <w:spacing w:line="286" w:lineRule="atLeast"/>
    </w:pPr>
    <w:rPr>
      <w:rFonts w:ascii="Arial" w:hAnsi="Arial"/>
      <w:color w:val="auto"/>
    </w:rPr>
  </w:style>
  <w:style w:type="table" w:styleId="TableGrid">
    <w:name w:val="Table Grid"/>
    <w:basedOn w:val="TableNormal"/>
    <w:rsid w:val="00041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041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14254B"/>
      <w:sz w:val="18"/>
      <w:szCs w:val="18"/>
    </w:rPr>
  </w:style>
  <w:style w:type="character" w:customStyle="1" w:styleId="HTMLPreformattedChar">
    <w:name w:val="HTML Preformatted Char"/>
    <w:link w:val="HTMLPreformatted"/>
    <w:locked/>
    <w:rsid w:val="000419E3"/>
    <w:rPr>
      <w:rFonts w:ascii="Verdana" w:hAnsi="Verdana" w:cs="Courier New"/>
      <w:color w:val="14254B"/>
      <w:sz w:val="18"/>
      <w:szCs w:val="18"/>
    </w:rPr>
  </w:style>
  <w:style w:type="paragraph" w:styleId="PlainText">
    <w:name w:val="Plain Text"/>
    <w:basedOn w:val="Normal"/>
    <w:link w:val="PlainTextChar"/>
    <w:rsid w:val="000419E3"/>
    <w:rPr>
      <w:rFonts w:ascii="Courier New" w:hAnsi="Courier New" w:cs="Courier New"/>
      <w:sz w:val="20"/>
      <w:szCs w:val="20"/>
    </w:rPr>
  </w:style>
  <w:style w:type="character" w:customStyle="1" w:styleId="PlainTextChar">
    <w:name w:val="Plain Text Char"/>
    <w:link w:val="PlainText"/>
    <w:locked/>
    <w:rsid w:val="000419E3"/>
    <w:rPr>
      <w:rFonts w:ascii="Courier New" w:hAnsi="Courier New" w:cs="Courier New"/>
    </w:rPr>
  </w:style>
  <w:style w:type="paragraph" w:styleId="Subtitle">
    <w:name w:val="Subtitle"/>
    <w:basedOn w:val="Normal"/>
    <w:link w:val="SubtitleChar"/>
    <w:qFormat/>
    <w:rsid w:val="000419E3"/>
    <w:pPr>
      <w:jc w:val="center"/>
    </w:pPr>
    <w:rPr>
      <w:b/>
      <w:bCs/>
      <w:i/>
      <w:iCs/>
      <w:sz w:val="28"/>
    </w:rPr>
  </w:style>
  <w:style w:type="character" w:customStyle="1" w:styleId="SubtitleChar">
    <w:name w:val="Subtitle Char"/>
    <w:link w:val="Subtitle"/>
    <w:locked/>
    <w:rsid w:val="000419E3"/>
    <w:rPr>
      <w:rFonts w:cs="Times New Roman"/>
      <w:b/>
      <w:bCs/>
      <w:i/>
      <w:iCs/>
      <w:sz w:val="24"/>
      <w:szCs w:val="24"/>
    </w:rPr>
  </w:style>
  <w:style w:type="character" w:styleId="Emphasis">
    <w:name w:val="Emphasis"/>
    <w:qFormat/>
    <w:rsid w:val="000419E3"/>
    <w:rPr>
      <w:rFonts w:cs="Times New Roman"/>
      <w:i/>
      <w:iCs/>
    </w:rPr>
  </w:style>
  <w:style w:type="paragraph" w:customStyle="1" w:styleId="black85em">
    <w:name w:val="black85em"/>
    <w:basedOn w:val="Normal"/>
    <w:rsid w:val="000419E3"/>
    <w:pPr>
      <w:spacing w:before="100" w:beforeAutospacing="1" w:after="100" w:afterAutospacing="1"/>
    </w:pPr>
    <w:rPr>
      <w:rFonts w:ascii="Arial" w:hAnsi="Arial" w:cs="Arial"/>
      <w:color w:val="000000"/>
      <w:sz w:val="20"/>
      <w:szCs w:val="20"/>
    </w:rPr>
  </w:style>
  <w:style w:type="character" w:styleId="Strong">
    <w:name w:val="Strong"/>
    <w:qFormat/>
    <w:rsid w:val="000419E3"/>
    <w:rPr>
      <w:rFonts w:cs="Times New Roman"/>
      <w:b/>
      <w:bCs/>
    </w:rPr>
  </w:style>
  <w:style w:type="character" w:styleId="CommentReference">
    <w:name w:val="annotation reference"/>
    <w:rsid w:val="000419E3"/>
    <w:rPr>
      <w:rFonts w:cs="Times New Roman"/>
      <w:sz w:val="16"/>
      <w:szCs w:val="16"/>
    </w:rPr>
  </w:style>
  <w:style w:type="paragraph" w:styleId="CommentText">
    <w:name w:val="annotation text"/>
    <w:basedOn w:val="Normal"/>
    <w:link w:val="CommentTextChar"/>
    <w:rsid w:val="000419E3"/>
    <w:rPr>
      <w:sz w:val="20"/>
      <w:szCs w:val="20"/>
    </w:rPr>
  </w:style>
  <w:style w:type="character" w:customStyle="1" w:styleId="CommentTextChar">
    <w:name w:val="Comment Text Char"/>
    <w:link w:val="CommentText"/>
    <w:locked/>
    <w:rsid w:val="000419E3"/>
    <w:rPr>
      <w:rFonts w:cs="Times New Roman"/>
    </w:rPr>
  </w:style>
  <w:style w:type="paragraph" w:styleId="Revision">
    <w:name w:val="Revision"/>
    <w:hidden/>
    <w:semiHidden/>
    <w:rsid w:val="000419E3"/>
    <w:rPr>
      <w:sz w:val="24"/>
      <w:szCs w:val="24"/>
    </w:rPr>
  </w:style>
  <w:style w:type="character" w:customStyle="1" w:styleId="yshortcuts">
    <w:name w:val="yshortcuts"/>
    <w:rsid w:val="000419E3"/>
    <w:rPr>
      <w:rFonts w:cs="Times New Roman"/>
    </w:rPr>
  </w:style>
  <w:style w:type="paragraph" w:styleId="NoSpacing">
    <w:name w:val="No Spacing"/>
    <w:qFormat/>
    <w:rsid w:val="000419E3"/>
    <w:rPr>
      <w:rFonts w:ascii="Calibri" w:hAnsi="Calibri"/>
      <w:sz w:val="22"/>
      <w:szCs w:val="22"/>
    </w:rPr>
  </w:style>
  <w:style w:type="paragraph" w:styleId="ListParagraph">
    <w:name w:val="List Paragraph"/>
    <w:basedOn w:val="Normal"/>
    <w:qFormat/>
    <w:rsid w:val="000419E3"/>
    <w:pPr>
      <w:spacing w:after="200" w:line="276" w:lineRule="auto"/>
      <w:ind w:left="720"/>
      <w:contextualSpacing/>
    </w:pPr>
    <w:rPr>
      <w:rFonts w:ascii="Calibri" w:hAnsi="Calibri"/>
      <w:sz w:val="22"/>
      <w:szCs w:val="22"/>
    </w:rPr>
  </w:style>
  <w:style w:type="character" w:customStyle="1" w:styleId="object2">
    <w:name w:val="object2"/>
    <w:rsid w:val="000419E3"/>
    <w:rPr>
      <w:rFonts w:cs="Times New Roman"/>
      <w:color w:val="00008B"/>
      <w:u w:val="none"/>
      <w:effect w:val="none"/>
    </w:rPr>
  </w:style>
  <w:style w:type="character" w:customStyle="1" w:styleId="object3">
    <w:name w:val="object3"/>
    <w:rsid w:val="000419E3"/>
    <w:rPr>
      <w:rFonts w:cs="Times New Roman"/>
      <w:color w:val="00008B"/>
      <w:u w:val="none"/>
      <w:effect w:val="none"/>
    </w:rPr>
  </w:style>
  <w:style w:type="paragraph" w:customStyle="1" w:styleId="CM71">
    <w:name w:val="CM71"/>
    <w:basedOn w:val="Default"/>
    <w:next w:val="Default"/>
    <w:rsid w:val="000419E3"/>
    <w:rPr>
      <w:rFonts w:ascii="Arial" w:hAnsi="Arial"/>
      <w:color w:val="auto"/>
    </w:rPr>
  </w:style>
  <w:style w:type="paragraph" w:customStyle="1" w:styleId="CM76">
    <w:name w:val="CM76"/>
    <w:basedOn w:val="Default"/>
    <w:next w:val="Default"/>
    <w:rsid w:val="000419E3"/>
    <w:rPr>
      <w:rFonts w:ascii="Arial" w:hAnsi="Arial"/>
      <w:color w:val="auto"/>
    </w:rPr>
  </w:style>
  <w:style w:type="paragraph" w:customStyle="1" w:styleId="CM12">
    <w:name w:val="CM12"/>
    <w:basedOn w:val="Default"/>
    <w:next w:val="Default"/>
    <w:rsid w:val="000419E3"/>
    <w:rPr>
      <w:rFonts w:ascii="Arial" w:hAnsi="Arial" w:cs="Arial"/>
      <w:color w:val="auto"/>
    </w:rPr>
  </w:style>
  <w:style w:type="paragraph" w:customStyle="1" w:styleId="ColorfulList-Accent11">
    <w:name w:val="Colorful List - Accent 11"/>
    <w:basedOn w:val="Normal"/>
    <w:rsid w:val="000419E3"/>
    <w:pPr>
      <w:spacing w:after="200" w:line="276" w:lineRule="auto"/>
      <w:ind w:left="720"/>
      <w:contextualSpacing/>
    </w:pPr>
    <w:rPr>
      <w:rFonts w:ascii="Calibri" w:hAnsi="Calibri"/>
      <w:sz w:val="22"/>
      <w:szCs w:val="22"/>
    </w:rPr>
  </w:style>
  <w:style w:type="paragraph" w:styleId="Caption">
    <w:name w:val="caption"/>
    <w:basedOn w:val="Normal"/>
    <w:next w:val="Normal"/>
    <w:qFormat/>
    <w:rsid w:val="000419E3"/>
    <w:rPr>
      <w:rFonts w:ascii="Cambria" w:hAnsi="Cambria"/>
      <w:b/>
      <w:bCs/>
      <w:sz w:val="20"/>
      <w:szCs w:val="20"/>
    </w:rPr>
  </w:style>
  <w:style w:type="paragraph" w:styleId="CommentSubject">
    <w:name w:val="annotation subject"/>
    <w:basedOn w:val="CommentText"/>
    <w:next w:val="CommentText"/>
    <w:link w:val="CommentSubjectChar"/>
    <w:semiHidden/>
    <w:rsid w:val="00734D9B"/>
    <w:rPr>
      <w:b/>
      <w:bCs/>
    </w:rPr>
  </w:style>
  <w:style w:type="character" w:customStyle="1" w:styleId="CommentSubjectChar">
    <w:name w:val="Comment Subject Char"/>
    <w:link w:val="CommentSubject"/>
    <w:semiHidden/>
    <w:locked/>
    <w:rsid w:val="00EC12EC"/>
    <w:rPr>
      <w:rFonts w:cs="Times New Roman"/>
      <w:b/>
      <w:bCs/>
    </w:rPr>
  </w:style>
  <w:style w:type="paragraph" w:styleId="TOC1">
    <w:name w:val="toc 1"/>
    <w:basedOn w:val="Normal"/>
    <w:next w:val="Normal"/>
    <w:autoRedefine/>
    <w:semiHidden/>
    <w:unhideWhenUsed/>
    <w:locked/>
    <w:rsid w:val="004F5D2F"/>
    <w:pPr>
      <w:spacing w:after="100"/>
    </w:pPr>
  </w:style>
  <w:style w:type="character" w:customStyle="1" w:styleId="allowtextselection">
    <w:name w:val="allowtextselection"/>
    <w:basedOn w:val="DefaultParagraphFont"/>
    <w:rsid w:val="00DB3AF0"/>
  </w:style>
  <w:style w:type="character" w:customStyle="1" w:styleId="A7">
    <w:name w:val="A7"/>
    <w:uiPriority w:val="99"/>
    <w:rsid w:val="00FF353C"/>
    <w:rPr>
      <w:rFonts w:cs="Adobe Garamond Pro"/>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1602954730">
      <w:bodyDiv w:val="1"/>
      <w:marLeft w:val="0"/>
      <w:marRight w:val="0"/>
      <w:marTop w:val="0"/>
      <w:marBottom w:val="0"/>
      <w:divBdr>
        <w:top w:val="none" w:sz="0" w:space="0" w:color="auto"/>
        <w:left w:val="none" w:sz="0" w:space="0" w:color="auto"/>
        <w:bottom w:val="none" w:sz="0" w:space="0" w:color="auto"/>
        <w:right w:val="none" w:sz="0" w:space="0" w:color="auto"/>
      </w:divBdr>
    </w:div>
    <w:div w:id="1753967441">
      <w:bodyDiv w:val="1"/>
      <w:marLeft w:val="0"/>
      <w:marRight w:val="0"/>
      <w:marTop w:val="0"/>
      <w:marBottom w:val="0"/>
      <w:divBdr>
        <w:top w:val="none" w:sz="0" w:space="0" w:color="auto"/>
        <w:left w:val="none" w:sz="0" w:space="0" w:color="auto"/>
        <w:bottom w:val="none" w:sz="0" w:space="0" w:color="auto"/>
        <w:right w:val="none" w:sz="0" w:space="0" w:color="auto"/>
      </w:divBdr>
    </w:div>
    <w:div w:id="180396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package" Target="embeddings/Microsoft_Excel_Worksheet2.xlsx"/><Relationship Id="rId34" Type="http://schemas.openxmlformats.org/officeDocument/2006/relationships/image" Target="media/image10.emf"/><Relationship Id="rId42" Type="http://schemas.openxmlformats.org/officeDocument/2006/relationships/package" Target="embeddings/Microsoft_Excel_Worksheet12.xlsx"/><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package" Target="embeddings/Microsoft_Excel_Worksheet4.xlsx"/><Relationship Id="rId33" Type="http://schemas.openxmlformats.org/officeDocument/2006/relationships/package" Target="embeddings/Microsoft_Excel_Worksheet8.xlsx"/><Relationship Id="rId38" Type="http://schemas.openxmlformats.org/officeDocument/2006/relationships/package" Target="embeddings/Microsoft_Excel_Worksheet10.xlsx"/><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3.emf"/><Relationship Id="rId29" Type="http://schemas.openxmlformats.org/officeDocument/2006/relationships/package" Target="embeddings/Microsoft_Excel_Worksheet6.xlsx"/><Relationship Id="rId41"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image" Target="media/image12.emf"/><Relationship Id="rId40" Type="http://schemas.openxmlformats.org/officeDocument/2006/relationships/package" Target="embeddings/Microsoft_Excel_Worksheet11.xlsx"/><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package" Target="embeddings/Microsoft_Excel_Worksheet3.xlsx"/><Relationship Id="rId28" Type="http://schemas.openxmlformats.org/officeDocument/2006/relationships/image" Target="media/image7.emf"/><Relationship Id="rId36" Type="http://schemas.openxmlformats.org/officeDocument/2006/relationships/package" Target="embeddings/Microsoft_Excel_Worksheet9.xlsx"/><Relationship Id="rId10" Type="http://schemas.openxmlformats.org/officeDocument/2006/relationships/footer" Target="footer1.xml"/><Relationship Id="rId19" Type="http://schemas.openxmlformats.org/officeDocument/2006/relationships/package" Target="embeddings/Microsoft_Excel_Worksheet1.xlsx"/><Relationship Id="rId31" Type="http://schemas.openxmlformats.org/officeDocument/2006/relationships/package" Target="embeddings/Microsoft_Excel_Worksheet7.xlsx"/><Relationship Id="rId44" Type="http://schemas.openxmlformats.org/officeDocument/2006/relationships/package" Target="embeddings/Microsoft_Excel_Worksheet13.xls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image" Target="media/image4.emf"/><Relationship Id="rId27" Type="http://schemas.openxmlformats.org/officeDocument/2006/relationships/package" Target="embeddings/Microsoft_Excel_Worksheet5.xlsx"/><Relationship Id="rId30" Type="http://schemas.openxmlformats.org/officeDocument/2006/relationships/image" Target="media/image8.emf"/><Relationship Id="rId35" Type="http://schemas.openxmlformats.org/officeDocument/2006/relationships/image" Target="media/image11.emf"/><Relationship Id="rId43" Type="http://schemas.openxmlformats.org/officeDocument/2006/relationships/image" Target="media/image15.emf"/></Relationships>
</file>

<file path=word/_rels/footnotes.xml.rels><?xml version="1.0" encoding="UTF-8" standalone="yes"?>
<Relationships xmlns="http://schemas.openxmlformats.org/package/2006/relationships"><Relationship Id="rId1" Type="http://schemas.openxmlformats.org/officeDocument/2006/relationships/hyperlink" Target="http://ies.ed.gov/nc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9994-D7A1-402F-ABD0-B3A94903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14822</Words>
  <Characters>84489</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FORESMAN READING PROGRAM EVALUATION</vt:lpstr>
    </vt:vector>
  </TitlesOfParts>
  <Company>World Domination Inc.</Company>
  <LinksUpToDate>false</LinksUpToDate>
  <CharactersWithSpaces>99113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FORESMAN READING PROGRAM EVALUATION</dc:title>
  <dc:creator>Gatti Evaluation</dc:creator>
  <cp:lastModifiedBy>Vilcheck, Ann</cp:lastModifiedBy>
  <cp:revision>2</cp:revision>
  <cp:lastPrinted>2016-02-11T19:23:00Z</cp:lastPrinted>
  <dcterms:created xsi:type="dcterms:W3CDTF">2016-02-11T22:09:00Z</dcterms:created>
  <dcterms:modified xsi:type="dcterms:W3CDTF">2016-02-11T22:09:00Z</dcterms:modified>
</cp:coreProperties>
</file>